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5279390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15875</wp:posOffset>
            </wp:positionV>
            <wp:extent cx="6993890" cy="5601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6019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00"/>
            <w:col w:w="854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ROSENTHAL CRAIG 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BELLRING BRANDS,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BELLRING BRANDS,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BRBR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03/10/2022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00"/>
        <w:spacing w:after="0"/>
        <w:rPr>
          <w:sz w:val="20"/>
          <w:szCs w:val="20"/>
          <w:color w:val="auto"/>
        </w:rPr>
      </w:pPr>
      <w:r>
        <w:rPr>
          <w:rFonts w:ascii="Arial" w:cs="Arial" w:eastAsia="Arial" w:hAnsi="Arial"/>
          <w:sz w:val="17"/>
          <w:szCs w:val="17"/>
          <w:color w:val="0000FF"/>
        </w:rPr>
        <w:t>SVP, GC &amp; SECRETARY</w:t>
      </w:r>
    </w:p>
    <w:p>
      <w:pPr>
        <w:spacing w:after="0" w:line="387" w:lineRule="exact"/>
        <w:rPr>
          <w:sz w:val="24"/>
          <w:szCs w:val="24"/>
          <w:color w:val="auto"/>
        </w:rPr>
      </w:pPr>
    </w:p>
    <w:p>
      <w:pPr>
        <w:sectPr>
          <w:pgSz w:w="11900" w:h="16838" w:orient="portrait"/>
          <w:cols w:equalWidth="0" w:num="3">
            <w:col w:w="3200" w:space="720"/>
            <w:col w:w="3140" w:space="68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28"/>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 LOUIS</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MO</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63144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ind w:left="900"/>
              <w:spacing w:after="0"/>
              <w:rPr>
                <w:sz w:val="20"/>
                <w:szCs w:val="20"/>
                <w:color w:val="auto"/>
              </w:rPr>
            </w:pPr>
            <w:r>
              <w:rPr>
                <w:rFonts w:ascii="Arial" w:cs="Arial" w:eastAsia="Arial" w:hAnsi="Arial"/>
                <w:sz w:val="17"/>
                <w:szCs w:val="17"/>
                <w:color w:val="0000FF"/>
              </w:rPr>
              <w:t>03/10/2022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22"/>
                <w:szCs w:val="22"/>
                <w:color w:val="auto"/>
              </w:rPr>
            </w:pPr>
          </w:p>
        </w:tc>
        <w:tc>
          <w:tcPr>
            <w:tcW w:w="700" w:type="dxa"/>
            <w:vAlign w:val="bottom"/>
            <w:gridSpan w:val="2"/>
          </w:tcPr>
          <w:p>
            <w:pPr>
              <w:jc w:val="center"/>
              <w:ind w:left="11"/>
              <w:spacing w:after="0"/>
              <w:rPr>
                <w:sz w:val="20"/>
                <w:szCs w:val="20"/>
                <w:color w:val="auto"/>
              </w:rPr>
            </w:pPr>
            <w:r>
              <w:rPr>
                <w:rFonts w:ascii="Arial" w:cs="Arial" w:eastAsia="Arial" w:hAnsi="Arial"/>
                <w:sz w:val="17"/>
                <w:szCs w:val="17"/>
                <w:color w:val="0000FF"/>
                <w:w w:val="88"/>
              </w:rPr>
              <w:t>17,958</w:t>
            </w:r>
          </w:p>
        </w:tc>
        <w:tc>
          <w:tcPr>
            <w:tcW w:w="520" w:type="dxa"/>
            <w:vAlign w:val="bottom"/>
          </w:tcPr>
          <w:p>
            <w:pPr>
              <w:ind w:left="30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ind w:left="158"/>
              <w:spacing w:after="0"/>
              <w:rPr>
                <w:sz w:val="20"/>
                <w:szCs w:val="20"/>
                <w:color w:val="auto"/>
              </w:rPr>
            </w:pPr>
            <w:r>
              <w:rPr>
                <w:rFonts w:ascii="Arial" w:cs="Arial" w:eastAsia="Arial" w:hAnsi="Arial"/>
                <w:sz w:val="11"/>
                <w:szCs w:val="11"/>
                <w:color w:val="008000"/>
                <w:w w:val="88"/>
              </w:rPr>
              <w:t>(1)</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8"/>
              </w:rPr>
              <w:t>18,892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03/10/2022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0000FF"/>
                <w:w w:val="83"/>
              </w:rPr>
              <w:t>18,892</w:t>
            </w:r>
            <w:r>
              <w:rPr>
                <w:rFonts w:ascii="Arial" w:cs="Arial" w:eastAsia="Arial" w:hAnsi="Arial"/>
                <w:sz w:val="21"/>
                <w:szCs w:val="21"/>
                <w:color w:val="008000"/>
                <w:w w:val="83"/>
                <w:vertAlign w:val="superscript"/>
              </w:rPr>
              <w:t>(2)</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ind w:left="158"/>
              <w:spacing w:after="0"/>
              <w:rPr>
                <w:sz w:val="20"/>
                <w:szCs w:val="20"/>
                <w:color w:val="auto"/>
              </w:rPr>
            </w:pPr>
            <w:r>
              <w:rPr>
                <w:rFonts w:ascii="Arial" w:cs="Arial" w:eastAsia="Arial" w:hAnsi="Arial"/>
                <w:sz w:val="11"/>
                <w:szCs w:val="11"/>
                <w:color w:val="008000"/>
                <w:w w:val="89"/>
              </w:rPr>
              <w:t>(1)(2)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vMerge w:val="restart"/>
          </w:tcPr>
          <w:p>
            <w:pPr>
              <w:ind w:left="900"/>
              <w:spacing w:after="0"/>
              <w:rPr>
                <w:sz w:val="20"/>
                <w:szCs w:val="20"/>
                <w:color w:val="auto"/>
              </w:rPr>
            </w:pPr>
            <w:r>
              <w:rPr>
                <w:rFonts w:ascii="Arial" w:cs="Arial" w:eastAsia="Arial" w:hAnsi="Arial"/>
                <w:sz w:val="17"/>
                <w:szCs w:val="17"/>
                <w:color w:val="0000FF"/>
              </w:rPr>
              <w:t>03/10/2022</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21"/>
                <w:szCs w:val="21"/>
                <w:color w:val="auto"/>
              </w:rPr>
            </w:pPr>
          </w:p>
        </w:tc>
        <w:tc>
          <w:tcPr>
            <w:tcW w:w="600" w:type="dxa"/>
            <w:vAlign w:val="bottom"/>
            <w:vMerge w:val="restart"/>
          </w:tcPr>
          <w:p>
            <w:pPr>
              <w:jc w:val="center"/>
              <w:ind w:left="111"/>
              <w:spacing w:after="0"/>
              <w:rPr>
                <w:sz w:val="20"/>
                <w:szCs w:val="20"/>
                <w:color w:val="auto"/>
              </w:rPr>
            </w:pPr>
            <w:r>
              <w:rPr>
                <w:rFonts w:ascii="Arial" w:cs="Arial" w:eastAsia="Arial" w:hAnsi="Arial"/>
                <w:sz w:val="17"/>
                <w:szCs w:val="17"/>
                <w:color w:val="0000FF"/>
                <w:w w:val="89"/>
              </w:rPr>
              <w:t>1,725</w:t>
            </w:r>
          </w:p>
        </w:tc>
        <w:tc>
          <w:tcPr>
            <w:tcW w:w="100" w:type="dxa"/>
            <w:vAlign w:val="bottom"/>
          </w:tcPr>
          <w:p>
            <w:pPr>
              <w:spacing w:after="0"/>
              <w:rPr>
                <w:sz w:val="21"/>
                <w:szCs w:val="21"/>
                <w:color w:val="auto"/>
              </w:rPr>
            </w:pPr>
          </w:p>
        </w:tc>
        <w:tc>
          <w:tcPr>
            <w:tcW w:w="520" w:type="dxa"/>
            <w:vAlign w:val="bottom"/>
            <w:vMerge w:val="restart"/>
          </w:tcPr>
          <w:p>
            <w:pPr>
              <w:ind w:left="300"/>
              <w:spacing w:after="0"/>
              <w:rPr>
                <w:sz w:val="20"/>
                <w:szCs w:val="20"/>
                <w:color w:val="auto"/>
              </w:rPr>
            </w:pPr>
            <w:r>
              <w:rPr>
                <w:rFonts w:ascii="Arial" w:cs="Arial" w:eastAsia="Arial" w:hAnsi="Arial"/>
                <w:sz w:val="17"/>
                <w:szCs w:val="17"/>
                <w:color w:val="0000FF"/>
              </w:rPr>
              <w:t>D</w:t>
            </w:r>
          </w:p>
        </w:tc>
        <w:tc>
          <w:tcPr>
            <w:tcW w:w="540" w:type="dxa"/>
            <w:vAlign w:val="bottom"/>
            <w:vMerge w:val="restart"/>
          </w:tcPr>
          <w:p>
            <w:pPr>
              <w:jc w:val="center"/>
              <w:ind w:left="158"/>
              <w:spacing w:after="0"/>
              <w:rPr>
                <w:sz w:val="20"/>
                <w:szCs w:val="20"/>
                <w:color w:val="auto"/>
              </w:rPr>
            </w:pPr>
            <w:r>
              <w:rPr>
                <w:rFonts w:ascii="Arial" w:cs="Arial" w:eastAsia="Arial" w:hAnsi="Arial"/>
                <w:sz w:val="11"/>
                <w:szCs w:val="11"/>
                <w:color w:val="008000"/>
                <w:w w:val="88"/>
              </w:rPr>
              <w:t>(1)</w:t>
            </w: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2012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gridSpan w:val="2"/>
          </w:tcPr>
          <w:p>
            <w:pPr>
              <w:ind w:left="40"/>
              <w:spacing w:after="0" w:line="142" w:lineRule="exact"/>
              <w:rPr>
                <w:sz w:val="20"/>
                <w:szCs w:val="20"/>
                <w:color w:val="auto"/>
              </w:rPr>
            </w:pPr>
            <w:r>
              <w:rPr>
                <w:rFonts w:ascii="Arial" w:cs="Arial" w:eastAsia="Arial" w:hAnsi="Arial"/>
                <w:sz w:val="13"/>
                <w:szCs w:val="13"/>
                <w:color w:val="0000FF"/>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14,113</w:t>
            </w:r>
          </w:p>
        </w:tc>
        <w:tc>
          <w:tcPr>
            <w:tcW w:w="60" w:type="dxa"/>
            <w:vAlign w:val="bottom"/>
          </w:tcPr>
          <w:p>
            <w:pPr>
              <w:spacing w:after="0"/>
              <w:rPr>
                <w:sz w:val="12"/>
                <w:szCs w:val="12"/>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20.05</w:t>
            </w: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Arial" w:cs="Arial" w:eastAsia="Arial" w:hAnsi="Arial"/>
                <w:sz w:val="13"/>
                <w:szCs w:val="13"/>
                <w:color w:val="0000FF"/>
              </w:rPr>
              <w:t>03/10/2022</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Arial" w:cs="Arial" w:eastAsia="Arial" w:hAnsi="Arial"/>
                <w:sz w:val="13"/>
                <w:szCs w:val="13"/>
                <w:color w:val="0000FF"/>
              </w:rPr>
              <w:t>D</w:t>
            </w:r>
          </w:p>
        </w:tc>
        <w:tc>
          <w:tcPr>
            <w:tcW w:w="920" w:type="dxa"/>
            <w:vAlign w:val="bottom"/>
          </w:tcPr>
          <w:p>
            <w:pPr>
              <w:ind w:left="460"/>
              <w:spacing w:after="0" w:line="142" w:lineRule="exact"/>
              <w:rPr>
                <w:sz w:val="20"/>
                <w:szCs w:val="20"/>
                <w:color w:val="auto"/>
              </w:rPr>
            </w:pPr>
            <w:r>
              <w:rPr>
                <w:rFonts w:ascii="Arial" w:cs="Arial" w:eastAsia="Arial" w:hAnsi="Arial"/>
                <w:sz w:val="13"/>
                <w:szCs w:val="13"/>
                <w:color w:val="0000FF"/>
              </w:rPr>
              <w:t>14,113</w:t>
            </w:r>
          </w:p>
        </w:tc>
        <w:tc>
          <w:tcPr>
            <w:tcW w:w="760" w:type="dxa"/>
            <w:vAlign w:val="bottom"/>
            <w:gridSpan w:val="2"/>
            <w:vMerge w:val="continue"/>
          </w:tcPr>
          <w:p>
            <w:pPr>
              <w:spacing w:after="0"/>
              <w:rPr>
                <w:sz w:val="12"/>
                <w:szCs w:val="12"/>
                <w:color w:val="auto"/>
              </w:rPr>
            </w:pPr>
          </w:p>
        </w:tc>
        <w:tc>
          <w:tcPr>
            <w:tcW w:w="760" w:type="dxa"/>
            <w:vAlign w:val="bottom"/>
            <w:gridSpan w:val="2"/>
          </w:tcPr>
          <w:p>
            <w:pPr>
              <w:ind w:left="40"/>
              <w:spacing w:after="0" w:line="142" w:lineRule="exact"/>
              <w:rPr>
                <w:sz w:val="20"/>
                <w:szCs w:val="20"/>
                <w:color w:val="auto"/>
              </w:rPr>
            </w:pPr>
            <w:r>
              <w:rPr>
                <w:rFonts w:ascii="Arial" w:cs="Arial" w:eastAsia="Arial" w:hAnsi="Arial"/>
                <w:sz w:val="13"/>
                <w:szCs w:val="13"/>
                <w:color w:val="0000FF"/>
              </w:rPr>
              <w:t>11/12/2030</w:t>
            </w:r>
          </w:p>
        </w:tc>
        <w:tc>
          <w:tcPr>
            <w:tcW w:w="620" w:type="dxa"/>
            <w:vAlign w:val="bottom"/>
            <w:gridSpan w:val="2"/>
          </w:tcPr>
          <w:p>
            <w:pPr>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tcPr>
          <w:p>
            <w:pPr>
              <w:ind w:left="380"/>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40" w:firstLine="2"/>
        <w:spacing w:after="0" w:line="257" w:lineRule="auto"/>
        <w:tabs>
          <w:tab w:leader="none" w:pos="169"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March 10, 2022, Post Holdings, Inc. ("Post") and BellRing Intermediate Holdings, Inc. (formerly known as BellRing Brands, Inc.) ("Old BellRing") completed the transactions under the transaction agreement and plan of merger entered into on October 26, 2021, as amended on February 28, 2022, whereby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Old BellRing merged with a subsidiary of New BellRing and each outstanding share of Old BellRing Class A common stock was converted into one share of New BellRing common stock and $2.97 in cash (collectively, the "Transactions").</w:t>
      </w:r>
    </w:p>
    <w:p>
      <w:pPr>
        <w:spacing w:after="0" w:line="21" w:lineRule="exact"/>
        <w:rPr>
          <w:rFonts w:ascii="Arial" w:cs="Arial" w:eastAsia="Arial" w:hAnsi="Arial"/>
          <w:sz w:val="12"/>
          <w:szCs w:val="12"/>
          <w:color w:val="008000"/>
        </w:rPr>
      </w:pPr>
    </w:p>
    <w:p>
      <w:pPr>
        <w:ind w:left="180" w:hanging="138"/>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 connection with the Transactions, unvested restricted stock units of Old BellRing were assumed by New BellRing and continue to be subject to the same terms and conditions of the Old BellRing awards.</w:t>
      </w:r>
    </w:p>
    <w:p>
      <w:pPr>
        <w:spacing w:after="0" w:line="55" w:lineRule="exact"/>
        <w:rPr>
          <w:rFonts w:ascii="Arial" w:cs="Arial" w:eastAsia="Arial" w:hAnsi="Arial"/>
          <w:sz w:val="12"/>
          <w:szCs w:val="12"/>
          <w:color w:val="008000"/>
        </w:rPr>
      </w:pPr>
    </w:p>
    <w:p>
      <w:pPr>
        <w:jc w:val="both"/>
        <w:ind w:left="40" w:right="500" w:firstLine="2"/>
        <w:spacing w:after="0" w:line="310" w:lineRule="auto"/>
        <w:tabs>
          <w:tab w:leader="none" w:pos="169"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Represents an option grant which provided for vesting in equal annual installments over three years commencing November 12, 2021 (the "Original Option"). The Original Option was assumed by New BellRing in connection with the Transactions and replaced with an option to purchase an equal number shares of New BellRing common stock, under the same terms and conditions as the Original Option.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Craig L. Rosenthal</w:t>
            </w:r>
          </w:p>
        </w:tc>
        <w:tc>
          <w:tcPr>
            <w:tcW w:w="760" w:type="dxa"/>
            <w:vAlign w:val="bottom"/>
          </w:tcPr>
          <w:p>
            <w:pPr>
              <w:spacing w:after="0"/>
              <w:rPr>
                <w:sz w:val="20"/>
                <w:szCs w:val="20"/>
                <w:color w:val="auto"/>
              </w:rPr>
            </w:pPr>
            <w:r>
              <w:rPr>
                <w:rFonts w:ascii="Arial" w:cs="Arial" w:eastAsia="Arial" w:hAnsi="Arial"/>
                <w:sz w:val="17"/>
                <w:szCs w:val="17"/>
                <w:color w:val="0000FF"/>
                <w:w w:val="86"/>
              </w:rPr>
              <w:t>03/10/2022</w:t>
            </w: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0252"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2022-03-10T15:54:37Z</dcterms:created>
  <dcterms:modified xsi:type="dcterms:W3CDTF">2022-03-10T15:54:37Z</dcterms:modified>
</cp:coreProperties>
</file>