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700"/>
        <w:spacing w:after="0"/>
        <w:rPr>
          <w:sz w:val="20"/>
          <w:szCs w:val="20"/>
          <w:color w:val="auto"/>
        </w:rPr>
      </w:pPr>
      <w:r>
        <w:rPr>
          <w:rFonts w:ascii="Arial" w:cs="Arial" w:eastAsia="Arial" w:hAnsi="Arial"/>
          <w:sz w:val="16"/>
          <w:szCs w:val="16"/>
          <w:b w:val="1"/>
          <w:bCs w:val="1"/>
          <w:color w:val="auto"/>
        </w:rPr>
        <w:t>Filed pursuant to Rule 424(b)(4)</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333-233867 and 333-234237</w:t>
      </w:r>
    </w:p>
    <w:p>
      <w:pPr>
        <w:spacing w:after="0" w:line="13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29"/>
          <w:szCs w:val="29"/>
          <w:i w:val="1"/>
          <w:iCs w:val="1"/>
          <w:color w:val="auto"/>
        </w:rPr>
        <w:t>34,285,714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17780</wp:posOffset>
            </wp:positionV>
            <wp:extent cx="167259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259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7" w:lineRule="exact"/>
        <w:rPr>
          <w:sz w:val="24"/>
          <w:szCs w:val="24"/>
          <w:color w:val="auto"/>
        </w:rPr>
      </w:pPr>
    </w:p>
    <w:p>
      <w:pPr>
        <w:ind w:left="200"/>
        <w:spacing w:after="0"/>
        <w:rPr>
          <w:sz w:val="20"/>
          <w:szCs w:val="20"/>
          <w:color w:val="auto"/>
        </w:rPr>
      </w:pPr>
      <w:r>
        <w:rPr>
          <w:rFonts w:ascii="Arial" w:cs="Arial" w:eastAsia="Arial" w:hAnsi="Arial"/>
          <w:sz w:val="16"/>
          <w:szCs w:val="16"/>
          <w:b w:val="1"/>
          <w:bCs w:val="1"/>
          <w:i w:val="1"/>
          <w:iCs w:val="1"/>
          <w:color w:val="auto"/>
        </w:rPr>
        <w:t>This is the initial public offering of shares of our Class A common stock. We are offering 34,285,714 shares of our Class A common stock.</w:t>
      </w:r>
    </w:p>
    <w:p>
      <w:pPr>
        <w:spacing w:after="0" w:line="86" w:lineRule="exact"/>
        <w:rPr>
          <w:sz w:val="24"/>
          <w:szCs w:val="24"/>
          <w:color w:val="auto"/>
        </w:rPr>
      </w:pPr>
    </w:p>
    <w:p>
      <w:pPr>
        <w:ind w:left="200" w:right="280"/>
        <w:spacing w:after="0" w:line="293" w:lineRule="auto"/>
        <w:rPr>
          <w:sz w:val="20"/>
          <w:szCs w:val="20"/>
          <w:color w:val="auto"/>
        </w:rPr>
      </w:pPr>
      <w:r>
        <w:rPr>
          <w:rFonts w:ascii="Arial" w:cs="Arial" w:eastAsia="Arial" w:hAnsi="Arial"/>
          <w:sz w:val="16"/>
          <w:szCs w:val="16"/>
          <w:b w:val="1"/>
          <w:bCs w:val="1"/>
          <w:i w:val="1"/>
          <w:iCs w:val="1"/>
          <w:color w:val="auto"/>
        </w:rPr>
        <w:t>Before this offering, there has been no public market for our Class A common stock. The initial public offering price for our Class A common stock is $14.00 per share. Our Class A common stock will trade on the New York Stock Exchange (the “NYSE”), under the symbol “BRBR”.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4"/>
          <w:szCs w:val="24"/>
          <w:color w:val="auto"/>
        </w:rPr>
      </w:pPr>
    </w:p>
    <w:p>
      <w:pPr>
        <w:ind w:left="200" w:right="180"/>
        <w:spacing w:after="0" w:line="313" w:lineRule="auto"/>
        <w:rPr>
          <w:sz w:val="20"/>
          <w:szCs w:val="20"/>
          <w:color w:val="auto"/>
        </w:rPr>
      </w:pPr>
      <w:r>
        <w:rPr>
          <w:rFonts w:ascii="Arial" w:cs="Arial" w:eastAsia="Arial" w:hAnsi="Arial"/>
          <w:sz w:val="14"/>
          <w:szCs w:val="14"/>
          <w:b w:val="1"/>
          <w:bCs w:val="1"/>
          <w:i w:val="1"/>
          <w:iCs w:val="1"/>
          <w:color w:val="auto"/>
        </w:rPr>
        <w:t>Following this offering, we will have two classes of common stock outstanding: Class A common stock and Class B common stock (our Class A common stock and our Class B common stock are collectively referred to as “common stock”). On matters presented to our stockholders, each share of our Class A common stock entitles its holder to one vote. For so long as Post Holdings, Inc. (“Post”) or its affiliates (other than us) directly own more than 50% of the BellRing Brands, LLC Units as described in this prospectus, the share of Class B common stock entitles its holder to a number of votes equal to 67% of the combined voting power of our common stock and, in the aggregate, the holders of our Class A common stock will have 33% of the combined voting power of our common stock. Holders of our shares of Class A common stock will be eligible for dividends and distributions upon liquidation. The holder of our share of Class B common stock will have no economic rights, including no rights to dividends or distributions upon liquidation. See “Description of Capital Stock.”</w:t>
      </w:r>
    </w:p>
    <w:p>
      <w:pPr>
        <w:spacing w:after="0" w:line="16" w:lineRule="exact"/>
        <w:rPr>
          <w:sz w:val="24"/>
          <w:szCs w:val="24"/>
          <w:color w:val="auto"/>
        </w:rPr>
      </w:pPr>
    </w:p>
    <w:p>
      <w:pPr>
        <w:ind w:left="200" w:right="280"/>
        <w:spacing w:after="0" w:line="278" w:lineRule="auto"/>
        <w:rPr>
          <w:sz w:val="20"/>
          <w:szCs w:val="20"/>
          <w:color w:val="auto"/>
        </w:rPr>
      </w:pPr>
      <w:r>
        <w:rPr>
          <w:rFonts w:ascii="Arial" w:cs="Arial" w:eastAsia="Arial" w:hAnsi="Arial"/>
          <w:sz w:val="16"/>
          <w:szCs w:val="16"/>
          <w:b w:val="1"/>
          <w:bCs w:val="1"/>
          <w:i w:val="1"/>
          <w:iCs w:val="1"/>
          <w:color w:val="auto"/>
        </w:rPr>
        <w:t>Following this offering, Post will own a majority of the combined voting power of our common stock, and we will be a “controlled company” under the corporate governance standards of the NYSE; however, we do not currently expect to rely on the “controlled company” exemptions. See “Management—Corporate Governance—Controlled Company Exemptions.”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106045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2" w:lineRule="exact"/>
        <w:rPr>
          <w:sz w:val="24"/>
          <w:szCs w:val="24"/>
          <w:color w:val="auto"/>
        </w:rPr>
      </w:pPr>
    </w:p>
    <w:p>
      <w:pPr>
        <w:ind w:left="200" w:right="160"/>
        <w:spacing w:after="0" w:line="348" w:lineRule="auto"/>
        <w:rPr>
          <w:sz w:val="20"/>
          <w:szCs w:val="20"/>
          <w:color w:val="auto"/>
        </w:rPr>
      </w:pPr>
      <w:r>
        <w:rPr>
          <w:rFonts w:ascii="Arial" w:cs="Arial" w:eastAsia="Arial" w:hAnsi="Arial"/>
          <w:sz w:val="14"/>
          <w:szCs w:val="14"/>
          <w:b w:val="1"/>
          <w:bCs w:val="1"/>
          <w:i w:val="1"/>
          <w:iCs w:val="1"/>
          <w:color w:val="auto"/>
        </w:rPr>
        <w:t>We are an “emerging growth company” under the Jumpstart Our Business Startups Act of 2012, have elected to comply with reduced public company reporting requirements and may elect to comply with reduced public company reporting requirements in future filings. See “Business—Emerging Growth Company Status.”</w:t>
      </w:r>
    </w:p>
    <w:p>
      <w:pPr>
        <w:spacing w:after="0" w:line="1" w:lineRule="exact"/>
        <w:rPr>
          <w:sz w:val="24"/>
          <w:szCs w:val="24"/>
          <w:color w:val="auto"/>
        </w:rPr>
      </w:pPr>
    </w:p>
    <w:p>
      <w:pPr>
        <w:ind w:left="20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See “</w:t>
      </w:r>
      <w:hyperlink w:anchor="page39">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28, to read about factors you should consider before buying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7" w:lineRule="exact"/>
        <w:rPr>
          <w:sz w:val="24"/>
          <w:szCs w:val="24"/>
          <w:color w:val="auto"/>
        </w:rPr>
      </w:pPr>
    </w:p>
    <w:p>
      <w:pPr>
        <w:ind w:left="200" w:right="140"/>
        <w:spacing w:after="0" w:line="293"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9"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i w:val="1"/>
                <w:iCs w:val="1"/>
                <w:color w:val="auto"/>
                <w:w w:val="92"/>
              </w:rPr>
              <w:t>Underwriting</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91"/>
              </w:rPr>
              <w:t>BellRing</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92"/>
              </w:rPr>
              <w:t>Brands, Inc.</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4520" w:type="dxa"/>
            <w:vAlign w:val="bottom"/>
            <w:gridSpan w:val="3"/>
          </w:tcPr>
          <w:p>
            <w:pPr>
              <w:jc w:val="center"/>
              <w:ind w:left="1463"/>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20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90"/>
              </w:rPr>
              <w:t>Before</w:t>
            </w:r>
          </w:p>
        </w:tc>
        <w:tc>
          <w:tcPr>
            <w:tcW w:w="0" w:type="dxa"/>
            <w:vAlign w:val="bottom"/>
          </w:tcPr>
          <w:p>
            <w:pPr>
              <w:spacing w:after="0"/>
              <w:rPr>
                <w:sz w:val="1"/>
                <w:szCs w:val="1"/>
                <w:color w:val="auto"/>
              </w:rPr>
            </w:pPr>
          </w:p>
        </w:tc>
      </w:tr>
      <w:tr>
        <w:trPr>
          <w:trHeight w:val="167"/>
        </w:trPr>
        <w:tc>
          <w:tcPr>
            <w:tcW w:w="3400" w:type="dxa"/>
            <w:vAlign w:val="bottom"/>
            <w:vMerge w:val="restart"/>
          </w:tcPr>
          <w:p>
            <w:pPr>
              <w:spacing w:after="0"/>
              <w:rPr>
                <w:sz w:val="20"/>
                <w:szCs w:val="20"/>
                <w:color w:val="auto"/>
              </w:rPr>
            </w:pPr>
            <w:r>
              <w:rPr>
                <w:rFonts w:ascii="Arial" w:cs="Arial" w:eastAsia="Arial" w:hAnsi="Arial"/>
                <w:sz w:val="16"/>
                <w:szCs w:val="16"/>
                <w:i w:val="1"/>
                <w:iCs w:val="1"/>
                <w:color w:val="auto"/>
              </w:rPr>
              <w:t>Per share</w:t>
            </w:r>
          </w:p>
        </w:tc>
        <w:tc>
          <w:tcPr>
            <w:tcW w:w="28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Public</w:t>
            </w:r>
          </w:p>
        </w:tc>
        <w:tc>
          <w:tcPr>
            <w:tcW w:w="12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Expenses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2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240" w:type="dxa"/>
            <w:vAlign w:val="bottom"/>
          </w:tcPr>
          <w:p>
            <w:pPr>
              <w:jc w:val="right"/>
              <w:ind w:right="779"/>
              <w:spacing w:after="0"/>
              <w:rPr>
                <w:sz w:val="20"/>
                <w:szCs w:val="20"/>
                <w:color w:val="auto"/>
              </w:rPr>
            </w:pPr>
            <w:r>
              <w:rPr>
                <w:rFonts w:ascii="Arial" w:cs="Arial" w:eastAsia="Arial" w:hAnsi="Arial"/>
                <w:sz w:val="16"/>
                <w:szCs w:val="16"/>
                <w:i w:val="1"/>
                <w:iCs w:val="1"/>
                <w:color w:val="auto"/>
                <w:w w:val="89"/>
              </w:rPr>
              <w:t>14.00</w:t>
            </w:r>
          </w:p>
        </w:tc>
        <w:tc>
          <w:tcPr>
            <w:tcW w:w="2040" w:type="dxa"/>
            <w:vAlign w:val="bottom"/>
            <w:gridSpan w:val="2"/>
          </w:tcPr>
          <w:p>
            <w:pPr>
              <w:jc w:val="right"/>
              <w:ind w:right="940"/>
              <w:spacing w:after="0"/>
              <w:rPr>
                <w:sz w:val="20"/>
                <w:szCs w:val="20"/>
                <w:color w:val="auto"/>
              </w:rPr>
            </w:pPr>
            <w:r>
              <w:rPr>
                <w:rFonts w:ascii="Arial" w:cs="Arial" w:eastAsia="Arial" w:hAnsi="Arial"/>
                <w:sz w:val="16"/>
                <w:szCs w:val="16"/>
                <w:i w:val="1"/>
                <w:iCs w:val="1"/>
                <w:color w:val="auto"/>
              </w:rPr>
              <w:t>$0.70</w:t>
            </w:r>
          </w:p>
        </w:tc>
        <w:tc>
          <w:tcPr>
            <w:tcW w:w="1000" w:type="dxa"/>
            <w:vAlign w:val="bottom"/>
            <w:gridSpan w:val="2"/>
          </w:tcPr>
          <w:p>
            <w:pPr>
              <w:jc w:val="right"/>
              <w:spacing w:after="0"/>
              <w:rPr>
                <w:sz w:val="20"/>
                <w:szCs w:val="20"/>
                <w:color w:val="auto"/>
              </w:rPr>
            </w:pPr>
            <w:r>
              <w:rPr>
                <w:rFonts w:ascii="Arial" w:cs="Arial" w:eastAsia="Arial" w:hAnsi="Arial"/>
                <w:sz w:val="16"/>
                <w:szCs w:val="16"/>
                <w:i w:val="1"/>
                <w:iCs w:val="1"/>
                <w:color w:val="auto"/>
              </w:rPr>
              <w:t>$13.30</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i w:val="1"/>
                <w:iCs w:val="1"/>
                <w:color w:val="auto"/>
              </w:rPr>
              <w:t>Total</w:t>
            </w:r>
          </w:p>
        </w:tc>
        <w:tc>
          <w:tcPr>
            <w:tcW w:w="4520" w:type="dxa"/>
            <w:vAlign w:val="bottom"/>
            <w:gridSpan w:val="3"/>
          </w:tcPr>
          <w:p>
            <w:pPr>
              <w:jc w:val="right"/>
              <w:ind w:right="779"/>
              <w:spacing w:after="0"/>
              <w:rPr>
                <w:sz w:val="20"/>
                <w:szCs w:val="20"/>
                <w:color w:val="auto"/>
              </w:rPr>
            </w:pPr>
            <w:r>
              <w:rPr>
                <w:rFonts w:ascii="Arial" w:cs="Arial" w:eastAsia="Arial" w:hAnsi="Arial"/>
                <w:sz w:val="16"/>
                <w:szCs w:val="16"/>
                <w:i w:val="1"/>
                <w:iCs w:val="1"/>
                <w:color w:val="auto"/>
              </w:rPr>
              <w:t>$479,999,996</w:t>
            </w:r>
          </w:p>
        </w:tc>
        <w:tc>
          <w:tcPr>
            <w:tcW w:w="2040" w:type="dxa"/>
            <w:vAlign w:val="bottom"/>
            <w:gridSpan w:val="2"/>
          </w:tcPr>
          <w:p>
            <w:pPr>
              <w:jc w:val="right"/>
              <w:ind w:right="940"/>
              <w:spacing w:after="0"/>
              <w:rPr>
                <w:sz w:val="20"/>
                <w:szCs w:val="20"/>
                <w:color w:val="auto"/>
              </w:rPr>
            </w:pPr>
            <w:r>
              <w:rPr>
                <w:rFonts w:ascii="Arial" w:cs="Arial" w:eastAsia="Arial" w:hAnsi="Arial"/>
                <w:sz w:val="16"/>
                <w:szCs w:val="16"/>
                <w:i w:val="1"/>
                <w:iCs w:val="1"/>
                <w:color w:val="auto"/>
              </w:rPr>
              <w:t>$24,000,000</w:t>
            </w:r>
          </w:p>
        </w:tc>
        <w:tc>
          <w:tcPr>
            <w:tcW w:w="1000" w:type="dxa"/>
            <w:vAlign w:val="bottom"/>
            <w:gridSpan w:val="2"/>
          </w:tcPr>
          <w:p>
            <w:pPr>
              <w:jc w:val="right"/>
              <w:spacing w:after="0"/>
              <w:rPr>
                <w:sz w:val="20"/>
                <w:szCs w:val="20"/>
                <w:color w:val="auto"/>
              </w:rPr>
            </w:pPr>
            <w:r>
              <w:rPr>
                <w:rFonts w:ascii="Arial" w:cs="Arial" w:eastAsia="Arial" w:hAnsi="Arial"/>
                <w:sz w:val="16"/>
                <w:szCs w:val="16"/>
                <w:i w:val="1"/>
                <w:iCs w:val="1"/>
                <w:color w:val="auto"/>
              </w:rPr>
              <w:t>$455,999,996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763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5"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See “Underwriting (Conflicts of Interest)” for a description of the compensation payable to the underwriters.</w:t>
      </w:r>
    </w:p>
    <w:p>
      <w:pPr>
        <w:spacing w:after="0" w:line="100" w:lineRule="exact"/>
        <w:rPr>
          <w:sz w:val="24"/>
          <w:szCs w:val="24"/>
          <w:color w:val="auto"/>
        </w:rPr>
      </w:pPr>
    </w:p>
    <w:p>
      <w:pPr>
        <w:ind w:left="200" w:right="640"/>
        <w:spacing w:after="0" w:line="278" w:lineRule="auto"/>
        <w:rPr>
          <w:sz w:val="20"/>
          <w:szCs w:val="20"/>
          <w:color w:val="auto"/>
        </w:rPr>
      </w:pPr>
      <w:r>
        <w:rPr>
          <w:rFonts w:ascii="Arial" w:cs="Arial" w:eastAsia="Arial" w:hAnsi="Arial"/>
          <w:sz w:val="16"/>
          <w:szCs w:val="16"/>
          <w:i w:val="1"/>
          <w:iCs w:val="1"/>
          <w:color w:val="auto"/>
        </w:rPr>
        <w:t>To the extent that the underwriters sell more than 34,285,714 shares of Class A common stock, the underwriters have the option to purchase up to an additional 5,142,857 shares of Class A common stock from us at the initial public offering price less the underwriting discount. See “Underwriting (Conflicts of Interest).”</w:t>
      </w:r>
    </w:p>
    <w:p>
      <w:pPr>
        <w:spacing w:after="0" w:line="36" w:lineRule="exact"/>
        <w:rPr>
          <w:sz w:val="24"/>
          <w:szCs w:val="24"/>
          <w:color w:val="auto"/>
        </w:rPr>
      </w:pPr>
    </w:p>
    <w:p>
      <w:pPr>
        <w:ind w:left="200"/>
        <w:spacing w:after="0"/>
        <w:rPr>
          <w:sz w:val="20"/>
          <w:szCs w:val="20"/>
          <w:color w:val="auto"/>
        </w:rPr>
      </w:pPr>
      <w:r>
        <w:rPr>
          <w:rFonts w:ascii="Arial" w:cs="Arial" w:eastAsia="Arial" w:hAnsi="Arial"/>
          <w:sz w:val="16"/>
          <w:szCs w:val="16"/>
          <w:i w:val="1"/>
          <w:iCs w:val="1"/>
          <w:color w:val="auto"/>
        </w:rPr>
        <w:t>The underwriters expect to deliver the shares against payment in New York, New York on October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138430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327" w:lineRule="exact"/>
        <w:rPr>
          <w:sz w:val="24"/>
          <w:szCs w:val="24"/>
          <w:color w:val="auto"/>
        </w:rPr>
      </w:pPr>
    </w:p>
    <w:p>
      <w:pPr>
        <w:ind w:left="200"/>
        <w:spacing w:after="0"/>
        <w:rPr>
          <w:sz w:val="20"/>
          <w:szCs w:val="20"/>
          <w:color w:val="auto"/>
        </w:rPr>
      </w:pPr>
      <w:r>
        <w:rPr>
          <w:rFonts w:ascii="Arial" w:cs="Arial" w:eastAsia="Arial" w:hAnsi="Arial"/>
          <w:sz w:val="21"/>
          <w:szCs w:val="21"/>
          <w:i w:val="1"/>
          <w:iCs w:val="1"/>
          <w:color w:val="auto"/>
        </w:rPr>
        <w:t>Morgan Stanley</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Citigroup</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jc w:val="center"/>
        <w:ind w:right="940"/>
        <w:spacing w:after="0"/>
        <w:rPr>
          <w:sz w:val="20"/>
          <w:szCs w:val="20"/>
          <w:color w:val="auto"/>
        </w:rPr>
      </w:pPr>
      <w:r>
        <w:rPr>
          <w:rFonts w:ascii="Arial" w:cs="Arial" w:eastAsia="Arial" w:hAnsi="Arial"/>
          <w:sz w:val="20"/>
          <w:szCs w:val="20"/>
          <w:i w:val="1"/>
          <w:iCs w:val="1"/>
          <w:color w:val="auto"/>
        </w:rPr>
        <w:t>J.P. Morgan</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Arial" w:cs="Arial" w:eastAsia="Arial" w:hAnsi="Arial"/>
          <w:sz w:val="21"/>
          <w:szCs w:val="21"/>
          <w:i w:val="1"/>
          <w:iCs w:val="1"/>
          <w:color w:val="auto"/>
        </w:rPr>
        <w:t>Goldman Sachs &amp; Co. LLC</w:t>
      </w:r>
    </w:p>
    <w:p>
      <w:pPr>
        <w:spacing w:after="0" w:line="112" w:lineRule="exact"/>
        <w:rPr>
          <w:sz w:val="24"/>
          <w:szCs w:val="24"/>
          <w:color w:val="auto"/>
        </w:rPr>
      </w:pPr>
    </w:p>
    <w:p>
      <w:pPr>
        <w:sectPr>
          <w:pgSz w:w="11900" w:h="16838" w:orient="portrait"/>
          <w:cols w:equalWidth="0" w:num="4">
            <w:col w:w="2480" w:space="720"/>
            <w:col w:w="1880" w:space="720"/>
            <w:col w:w="2060" w:space="720"/>
            <w:col w:w="2640"/>
          </w:cols>
          <w:pgMar w:left="240" w:top="230" w:right="439" w:bottom="1440" w:gutter="0" w:footer="0" w:header="0"/>
          <w:type w:val="continuous"/>
        </w:sectPr>
      </w:pPr>
    </w:p>
    <w:p>
      <w:pPr>
        <w:jc w:val="center"/>
        <w:ind w:left="480"/>
        <w:spacing w:after="0"/>
        <w:rPr>
          <w:sz w:val="20"/>
          <w:szCs w:val="20"/>
          <w:color w:val="auto"/>
        </w:rPr>
      </w:pPr>
      <w:r>
        <w:rPr>
          <w:rFonts w:ascii="Arial" w:cs="Arial" w:eastAsia="Arial" w:hAnsi="Arial"/>
          <w:sz w:val="16"/>
          <w:szCs w:val="16"/>
          <w:i w:val="1"/>
          <w:iCs w:val="1"/>
          <w:color w:val="auto"/>
        </w:rPr>
        <w:t>BofA Merrill</w:t>
      </w:r>
    </w:p>
    <w:p>
      <w:pPr>
        <w:spacing w:after="0" w:line="22" w:lineRule="exact"/>
        <w:rPr>
          <w:sz w:val="24"/>
          <w:szCs w:val="24"/>
          <w:color w:val="auto"/>
        </w:rPr>
      </w:pPr>
    </w:p>
    <w:p>
      <w:pPr>
        <w:jc w:val="center"/>
        <w:ind w:left="480"/>
        <w:spacing w:after="0"/>
        <w:rPr>
          <w:sz w:val="20"/>
          <w:szCs w:val="20"/>
          <w:color w:val="auto"/>
        </w:rPr>
      </w:pPr>
      <w:r>
        <w:rPr>
          <w:rFonts w:ascii="Arial" w:cs="Arial" w:eastAsia="Arial" w:hAnsi="Arial"/>
          <w:sz w:val="16"/>
          <w:szCs w:val="16"/>
          <w:i w:val="1"/>
          <w:iCs w:val="1"/>
          <w:color w:val="auto"/>
        </w:rPr>
        <w:t>Lynch</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i w:val="1"/>
          <w:iCs w:val="1"/>
          <w:color w:val="auto"/>
        </w:rPr>
        <w:t>Barclays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i w:val="1"/>
          <w:iCs w:val="1"/>
          <w:color w:val="auto"/>
        </w:rPr>
        <w:t>BMO Capital</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Credit Suisse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i w:val="1"/>
          <w:iCs w:val="1"/>
          <w:color w:val="auto"/>
        </w:rPr>
        <w:t>Evercore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ISI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Stifel</w:t>
      </w:r>
    </w:p>
    <w:p>
      <w:pPr>
        <w:spacing w:after="0" w:line="20" w:lineRule="exact"/>
        <w:rPr>
          <w:sz w:val="24"/>
          <w:szCs w:val="24"/>
          <w:color w:val="auto"/>
        </w:rPr>
      </w:pPr>
      <w:r>
        <w:rPr>
          <w:sz w:val="24"/>
          <w:szCs w:val="24"/>
          <w:color w:val="auto"/>
        </w:rPr>
        <w:br w:type="column"/>
      </w:r>
    </w:p>
    <w:p>
      <w:pPr>
        <w:jc w:val="center"/>
        <w:ind w:right="100"/>
        <w:spacing w:after="0"/>
        <w:rPr>
          <w:sz w:val="20"/>
          <w:szCs w:val="20"/>
          <w:color w:val="auto"/>
        </w:rPr>
      </w:pPr>
      <w:r>
        <w:rPr>
          <w:rFonts w:ascii="Arial" w:cs="Arial" w:eastAsia="Arial" w:hAnsi="Arial"/>
          <w:sz w:val="14"/>
          <w:szCs w:val="14"/>
          <w:i w:val="1"/>
          <w:iCs w:val="1"/>
          <w:color w:val="auto"/>
        </w:rPr>
        <w:t>SunTrust Robinson</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6"/>
          <w:szCs w:val="16"/>
          <w:i w:val="1"/>
          <w:iCs w:val="1"/>
          <w:color w:val="auto"/>
        </w:rPr>
        <w:t>Humphrey</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Arial" w:cs="Arial" w:eastAsia="Arial" w:hAnsi="Arial"/>
          <w:sz w:val="14"/>
          <w:szCs w:val="14"/>
          <w:i w:val="1"/>
          <w:iCs w:val="1"/>
          <w:color w:val="auto"/>
        </w:rPr>
        <w:t>Wells Fargo</w:t>
      </w:r>
    </w:p>
    <w:p>
      <w:pPr>
        <w:spacing w:after="0" w:line="45" w:lineRule="exact"/>
        <w:rPr>
          <w:sz w:val="24"/>
          <w:szCs w:val="24"/>
          <w:color w:val="auto"/>
        </w:rPr>
      </w:pPr>
    </w:p>
    <w:p>
      <w:pPr>
        <w:jc w:val="center"/>
        <w:ind w:right="280"/>
        <w:spacing w:after="0"/>
        <w:rPr>
          <w:sz w:val="20"/>
          <w:szCs w:val="20"/>
          <w:color w:val="auto"/>
        </w:rPr>
      </w:pPr>
      <w:r>
        <w:rPr>
          <w:rFonts w:ascii="Arial" w:cs="Arial" w:eastAsia="Arial" w:hAnsi="Arial"/>
          <w:sz w:val="16"/>
          <w:szCs w:val="16"/>
          <w:i w:val="1"/>
          <w:iCs w:val="1"/>
          <w:color w:val="auto"/>
        </w:rPr>
        <w:t>Securities</w:t>
      </w:r>
    </w:p>
    <w:p>
      <w:pPr>
        <w:spacing w:after="0" w:line="73" w:lineRule="exact"/>
        <w:rPr>
          <w:sz w:val="24"/>
          <w:szCs w:val="24"/>
          <w:color w:val="auto"/>
        </w:rPr>
      </w:pPr>
    </w:p>
    <w:p>
      <w:pPr>
        <w:sectPr>
          <w:pgSz w:w="11900" w:h="16838" w:orient="portrait"/>
          <w:cols w:equalWidth="0" w:num="8">
            <w:col w:w="1320" w:space="580"/>
            <w:col w:w="580" w:space="600"/>
            <w:col w:w="880" w:space="680"/>
            <w:col w:w="860" w:space="620"/>
            <w:col w:w="580" w:space="420"/>
            <w:col w:w="340" w:space="660"/>
            <w:col w:w="1320" w:space="720"/>
            <w:col w:w="1060"/>
          </w:cols>
          <w:pgMar w:left="240" w:top="230" w:right="439" w:bottom="1440" w:gutter="0" w:footer="0" w:header="0"/>
          <w:type w:val="continuous"/>
        </w:sectPr>
      </w:pPr>
    </w:p>
    <w:p>
      <w:pPr>
        <w:ind w:left="480"/>
        <w:spacing w:after="0"/>
        <w:rPr>
          <w:sz w:val="20"/>
          <w:szCs w:val="20"/>
          <w:color w:val="auto"/>
        </w:rPr>
      </w:pPr>
      <w:r>
        <w:rPr>
          <w:rFonts w:ascii="Arial" w:cs="Arial" w:eastAsia="Arial" w:hAnsi="Arial"/>
          <w:sz w:val="12"/>
          <w:szCs w:val="12"/>
          <w:i w:val="1"/>
          <w:iCs w:val="1"/>
          <w:color w:val="auto"/>
        </w:rPr>
        <w:t>HSBC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Nomura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PNC Capital Markets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139700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Rabo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UBS Investment Bank</w:t>
      </w:r>
    </w:p>
    <w:p>
      <w:pPr>
        <w:spacing w:after="0" w:line="211" w:lineRule="exact"/>
        <w:rPr>
          <w:sz w:val="24"/>
          <w:szCs w:val="24"/>
          <w:color w:val="auto"/>
        </w:rPr>
      </w:pPr>
    </w:p>
    <w:p>
      <w:pPr>
        <w:sectPr>
          <w:pgSz w:w="11900" w:h="16838" w:orient="portrait"/>
          <w:cols w:equalWidth="0" w:num="5">
            <w:col w:w="1420" w:space="720"/>
            <w:col w:w="1340" w:space="720"/>
            <w:col w:w="2120" w:space="720"/>
            <w:col w:w="1620" w:space="720"/>
            <w:col w:w="1840"/>
          </w:cols>
          <w:pgMar w:left="240" w:top="230" w:right="439" w:bottom="1440" w:gutter="0" w:footer="0" w:header="0"/>
          <w:type w:val="continuous"/>
        </w:sectPr>
      </w:pPr>
    </w:p>
    <w:p>
      <w:pPr>
        <w:spacing w:after="0" w:line="105" w:lineRule="exact"/>
        <w:rPr>
          <w:sz w:val="24"/>
          <w:szCs w:val="24"/>
          <w:color w:val="auto"/>
        </w:rPr>
      </w:pPr>
    </w:p>
    <w:p>
      <w:pPr>
        <w:ind w:left="200"/>
        <w:spacing w:after="0"/>
        <w:rPr>
          <w:sz w:val="20"/>
          <w:szCs w:val="20"/>
          <w:color w:val="auto"/>
        </w:rPr>
      </w:pPr>
      <w:r>
        <w:rPr>
          <w:rFonts w:ascii="Arial" w:cs="Arial" w:eastAsia="Arial" w:hAnsi="Arial"/>
          <w:sz w:val="14"/>
          <w:szCs w:val="14"/>
          <w:i w:val="1"/>
          <w:iCs w:val="1"/>
          <w:color w:val="auto"/>
        </w:rPr>
        <w:t>Prospectus dated October 16,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20" w:type="dxa"/>
            <w:vAlign w:val="bottom"/>
            <w:gridSpan w:val="21"/>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8"/>
          </w:tcPr>
          <w:p>
            <w:pPr>
              <w:ind w:left="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73"/>
        </w:trPr>
        <w:tc>
          <w:tcPr>
            <w:tcW w:w="22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PROSPECTUS SUMMARY</w:t>
              </w:r>
            </w:hyperlink>
          </w:p>
        </w:tc>
        <w:tc>
          <w:tcPr>
            <w:tcW w:w="2420" w:type="dxa"/>
            <w:vAlign w:val="bottom"/>
            <w:gridSpan w:val="11"/>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BUSINESS</w:t>
              </w:r>
            </w:hyperlink>
          </w:p>
        </w:tc>
        <w:tc>
          <w:tcPr>
            <w:tcW w:w="372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196"/>
        </w:trPr>
        <w:tc>
          <w:tcPr>
            <w:tcW w:w="220" w:type="dxa"/>
            <w:vAlign w:val="bottom"/>
          </w:tcPr>
          <w:p>
            <w:pPr>
              <w:spacing w:after="0"/>
              <w:rPr>
                <w:sz w:val="17"/>
                <w:szCs w:val="17"/>
                <w:color w:val="auto"/>
              </w:rPr>
            </w:pPr>
          </w:p>
        </w:tc>
        <w:tc>
          <w:tcPr>
            <w:tcW w:w="1240" w:type="dxa"/>
            <w:vAlign w:val="bottom"/>
            <w:gridSpan w:val="5"/>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RISK FACTORS</w:t>
              </w:r>
            </w:hyperlink>
          </w:p>
        </w:tc>
        <w:tc>
          <w:tcPr>
            <w:tcW w:w="3260" w:type="dxa"/>
            <w:vAlign w:val="bottom"/>
            <w:gridSpan w:val="1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MANAGEMENT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CAUTIONARY STATEMENT REGARDING FORWARD-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EXECUTIVE COMPENSATION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LOOKING STATEMENTS</w:t>
              </w:r>
            </w:hyperlink>
          </w:p>
        </w:tc>
        <w:tc>
          <w:tcPr>
            <w:tcW w:w="180" w:type="dxa"/>
            <w:vAlign w:val="bottom"/>
            <w:gridSpan w:val="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246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153">
              <w:r>
                <w:rPr>
                  <w:rFonts w:ascii="Arial" w:cs="Arial" w:eastAsia="Arial" w:hAnsi="Arial"/>
                  <w:sz w:val="18"/>
                  <w:szCs w:val="18"/>
                  <w:color w:val="0000EE"/>
                  <w:w w:val="97"/>
                </w:rPr>
                <w:t>PRINCIPAL STOCKHOLDERS</w:t>
              </w:r>
            </w:hyperlink>
          </w:p>
        </w:tc>
        <w:tc>
          <w:tcPr>
            <w:tcW w:w="212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USE OF PROCEEDS</w:t>
              </w:r>
            </w:hyperlink>
          </w:p>
        </w:tc>
        <w:tc>
          <w:tcPr>
            <w:tcW w:w="2920" w:type="dxa"/>
            <w:vAlign w:val="bottom"/>
            <w:gridSpan w:val="1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DESCRIPTION OF CERTAIN INDEBTEDNESS</w:t>
              </w:r>
            </w:hyperlink>
          </w:p>
        </w:tc>
        <w:tc>
          <w:tcPr>
            <w:tcW w:w="94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DIVIDEND POLICY</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61</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DESCRIPTION OF CAPITAL STOCK</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60" w:type="dxa"/>
            <w:vAlign w:val="bottom"/>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CAPITALIZATION</w:t>
              </w:r>
            </w:hyperlink>
          </w:p>
        </w:tc>
        <w:tc>
          <w:tcPr>
            <w:tcW w:w="2940" w:type="dxa"/>
            <w:vAlign w:val="bottom"/>
            <w:gridSpan w:val="13"/>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62</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SHARES ELIGIBLE FOR FUTURE SALE</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3100" w:type="dxa"/>
            <w:vAlign w:val="bottom"/>
            <w:gridSpan w:val="14"/>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65</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CERTAIN RELATIONSHIPS AND RELATED PARTY</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1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SELECTED HISTORICAL CONDENSED COMBINED</w:t>
              </w:r>
            </w:hyperlink>
          </w:p>
        </w:tc>
        <w:tc>
          <w:tcPr>
            <w:tcW w:w="3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65">
              <w:r>
                <w:rPr>
                  <w:rFonts w:ascii="Arial" w:cs="Arial" w:eastAsia="Arial" w:hAnsi="Arial"/>
                  <w:sz w:val="18"/>
                  <w:szCs w:val="18"/>
                  <w:color w:val="0000EE"/>
                  <w:w w:val="96"/>
                </w:rPr>
                <w:t>TRANSACTIONS</w:t>
              </w:r>
            </w:hyperlink>
          </w:p>
        </w:tc>
        <w:tc>
          <w:tcPr>
            <w:tcW w:w="302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1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FINANCIAL AND OTHER INFORMATION</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67</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CERTAIN MATERIAL U.S. FEDERAL INCOME TAX</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UNAUDITED QUARTERLY FINANCIAL</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ind w:left="180"/>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CONSIDERATIONS FOR NON-U.S. HOLDERS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INFORMATION</w:t>
              </w:r>
            </w:hyperlink>
          </w:p>
        </w:tc>
        <w:tc>
          <w:tcPr>
            <w:tcW w:w="1340" w:type="dxa"/>
            <w:vAlign w:val="bottom"/>
            <w:gridSpan w:val="9"/>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69</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UNDERWRITING (CONFLICTS OF INTEREST)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EXPLANATION AND RECONCILIATION OF NON-GAAP</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LEGAL MATTERS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183</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MEASURES</w:t>
              </w:r>
            </w:hyperlink>
          </w:p>
        </w:tc>
        <w:tc>
          <w:tcPr>
            <w:tcW w:w="20" w:type="dxa"/>
            <w:vAlign w:val="bottom"/>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EXPERTS</w:t>
              </w:r>
            </w:hyperlink>
          </w:p>
        </w:tc>
        <w:tc>
          <w:tcPr>
            <w:tcW w:w="31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183</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UNAUDITED PRO FORMA CONDENSED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WHERE YOU CAN FIND MORE INFORMATION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183</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14"/>
          </w:tcPr>
          <w:p>
            <w:pPr>
              <w:spacing w:after="0" w:line="196"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CONSOLIDATED FINANCIAL INFORMATION</w:t>
              </w:r>
            </w:hyperlink>
          </w:p>
        </w:tc>
        <w:tc>
          <w:tcPr>
            <w:tcW w:w="660" w:type="dxa"/>
            <w:vAlign w:val="bottom"/>
            <w:gridSpan w:val="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73</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INDEX TO FINANCIAL STATEMENTS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460" w:type="dxa"/>
            <w:vAlign w:val="bottom"/>
            <w:tcBorders>
              <w:left w:val="single" w:sz="8" w:color="0000EE"/>
            </w:tcBorders>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MANAGEMENT’S DISCUSSION AND ANALYSIS OF</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FINANCIAL CONDITION AND RESULTS OF</w:t>
              </w:r>
            </w:hyperlink>
          </w:p>
        </w:tc>
        <w:tc>
          <w:tcPr>
            <w:tcW w:w="3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OPERATIONS</w:t>
              </w:r>
            </w:hyperlink>
          </w:p>
        </w:tc>
        <w:tc>
          <w:tcPr>
            <w:tcW w:w="800" w:type="dxa"/>
            <w:vAlign w:val="bottom"/>
            <w:gridSpan w:val="6"/>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None of BellRing Brands, Inc., Post or the underwriters have authorized anyone to provide you with additional information or information different from that contained in this prospectus or in any free writing prospectus filed with the SEC. We, Post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For investors outside of the United States (the “U.S.”): We have not, and the underwriters have not, done anything that would permit this offering or the possession or distribution of this prospectus in any jurisdiction where action for that purpose is required, other than in the U.S. Persons outside of the U.S. who come into possession of this prospectus must inform themselves about, and observe any restrictions relating to, this offering of our Class A common stock and the distribution of this prospectus outside of the U.S.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we otherwise indicate, or unless the context requires otherwise, any references in this prospectus to:</w:t>
      </w:r>
    </w:p>
    <w:p>
      <w:pPr>
        <w:spacing w:after="0" w:line="131" w:lineRule="exact"/>
        <w:rPr>
          <w:sz w:val="20"/>
          <w:szCs w:val="20"/>
          <w:color w:val="auto"/>
        </w:rPr>
      </w:pPr>
    </w:p>
    <w:p>
      <w:pPr>
        <w:ind w:left="1180" w:right="120" w:hanging="544"/>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Blocker” refers to TA/DEI-A Acquisition Corp., a Delaware corporation, which, prior to the completion of the formation transactions, is an indirect wholly-owned subsidiary of Post and, after completion of the formation transactions, will be a direct wholly-owned subsidiary of BellRing Brands, LLC.</w:t>
      </w:r>
    </w:p>
    <w:p>
      <w:pPr>
        <w:spacing w:after="0" w:line="86" w:lineRule="exact"/>
        <w:rPr>
          <w:rFonts w:ascii="Arial" w:cs="Arial" w:eastAsia="Arial" w:hAnsi="Arial"/>
          <w:sz w:val="18"/>
          <w:szCs w:val="18"/>
          <w:color w:val="auto"/>
        </w:rPr>
      </w:pPr>
    </w:p>
    <w:p>
      <w:pPr>
        <w:jc w:val="both"/>
        <w:ind w:left="1180" w:right="60" w:hanging="544"/>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“Active Nutrition International” refers to Active Nutrition International GmbH, formerly known as PowerBar Europe GmbH, which, prior to the completion of the formation transactions, is a wholly-owned subsidiary of Post Acquisition Sub IV, LLC (which is a wholly-owned subsidiary of Post)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4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after the completion of the formation transactions, will be an indirect wholly-owned subsidiary of BellRing Brands, LLC.</w:t>
      </w:r>
    </w:p>
    <w:p>
      <w:pPr>
        <w:spacing w:after="0" w:line="131" w:lineRule="exact"/>
        <w:rPr>
          <w:sz w:val="20"/>
          <w:szCs w:val="20"/>
          <w:color w:val="auto"/>
        </w:rPr>
      </w:pPr>
    </w:p>
    <w:p>
      <w:pPr>
        <w:ind w:left="1180" w:right="4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refers to the amended and restated limited liability company agreement of BellRing Brands, LLC to be entered into among BellRing Brands, LLC, BellRing Brands, Inc. and Post in connection with the formation transactions and this offering.</w:t>
      </w:r>
    </w:p>
    <w:p>
      <w:pPr>
        <w:spacing w:after="0" w:line="86" w:lineRule="exact"/>
        <w:rPr>
          <w:rFonts w:ascii="Arial" w:cs="Arial" w:eastAsia="Arial" w:hAnsi="Arial"/>
          <w:sz w:val="18"/>
          <w:szCs w:val="18"/>
          <w:color w:val="auto"/>
        </w:rPr>
      </w:pPr>
    </w:p>
    <w:p>
      <w:pPr>
        <w:ind w:left="1180" w:right="160" w:hanging="544"/>
        <w:spacing w:after="0" w:line="259"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 Blockers” refers to, collectively, (i) TA/DEI-B1 Acquisition Corp., a Delaware corporation, (ii) TA/DEI-B2 Acquisition Corp., a Delaware corporation and (iii) TA/DEI-B3 Acquisition Corp., a Delaware corporation, each of which, prior to the completion of the formation transactions, is an indirect wholly-owned subsidiary of Post and, as part of the formation transactions, will be merged with and into the A Blocker.</w:t>
      </w:r>
    </w:p>
    <w:p>
      <w:pPr>
        <w:spacing w:after="0" w:line="92" w:lineRule="exact"/>
        <w:rPr>
          <w:rFonts w:ascii="Arial" w:cs="Arial" w:eastAsia="Arial" w:hAnsi="Arial"/>
          <w:sz w:val="18"/>
          <w:szCs w:val="18"/>
          <w:color w:val="auto"/>
        </w:rPr>
      </w:pPr>
    </w:p>
    <w:p>
      <w:pPr>
        <w:ind w:left="1180" w:right="260" w:hanging="544"/>
        <w:spacing w:after="0" w:line="259"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“ancillary agreements” refers to all agreements to be entered into by Post, BellRing Brands, Inc., BellRing Brands, LLC and/or their respective subsidiaries in connection with the formation transactions and this offering, including the employee matters agreement, the investor rights agreement, the amended and restated limited liability company agreement, the tax matters agreement, the tax receivable agreement and the master services agreement.</w:t>
      </w:r>
    </w:p>
    <w:p>
      <w:pPr>
        <w:spacing w:after="0" w:line="92" w:lineRule="exact"/>
        <w:rPr>
          <w:rFonts w:ascii="Arial" w:cs="Arial" w:eastAsia="Arial" w:hAnsi="Arial"/>
          <w:sz w:val="18"/>
          <w:szCs w:val="18"/>
          <w:color w:val="auto"/>
        </w:rPr>
      </w:pPr>
    </w:p>
    <w:p>
      <w:pPr>
        <w:ind w:left="1180" w:right="44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 Brands, LLC” refers to BellRing Brands, LLC (currently known as Dymatize Holdings, LLC), a Delaware limited liability company.</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 Brands, LLC Units” refers to the non-voting membership units of BellRing Brands, LLC as described in the amended and restated limited liability company agreement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“Board of Directors” refers to the board of directors of BellRing Brands, Inc.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“Board of Managers” refers to the board of managers of BellRing Brands, LLC.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“buy rate” refers to the average amount of product purchased by one buying household during the specified time period.</w:t>
      </w:r>
    </w:p>
    <w:p>
      <w:pPr>
        <w:spacing w:after="0" w:line="130"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“CAGR” refers to compounded annual growth rate and represents the rate of increase or decrease required for a number to get from its initial value to its ending value, assuming the increase or decrease occurred steadily and was compounded over the referenced time period.</w:t>
      </w:r>
    </w:p>
    <w:p>
      <w:pPr>
        <w:spacing w:after="0" w:line="29" w:lineRule="exact"/>
        <w:rPr>
          <w:rFonts w:ascii="Arial" w:cs="Arial" w:eastAsia="Arial" w:hAnsi="Arial"/>
          <w:sz w:val="16"/>
          <w:szCs w:val="16"/>
          <w:color w:val="auto"/>
        </w:rPr>
      </w:pPr>
    </w:p>
    <w:p>
      <w:pPr>
        <w:jc w:val="both"/>
        <w:ind w:left="1180" w:right="12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“Dymatize Enterprises” refers to Dymatize Enterprises, LLC, a Delaware limited liability company, which, prior to the completion of the formation transactions, is an indirect wholly-owned subsidiary of Post and, after completion of the formation transactions, will be a direct and indirect wholly-owned subsidiary of BellRing Brands, LLC.</w:t>
      </w:r>
    </w:p>
    <w:p>
      <w:pPr>
        <w:spacing w:after="0" w:line="86"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“employee matters agreement” refers to the employee matters agreement to be entered into between Post and BellRing Brands, Inc. or their respective subsidiaries in connection with the formation transactions and this offering.</w:t>
      </w:r>
    </w:p>
    <w:p>
      <w:pPr>
        <w:spacing w:after="0" w:line="75"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“Euromonitor data” refers to data for the convenient nutrition category from Euromonitor International Limited (“Euromonitor”), which is defined by Euromonitor to include the sports nutrition, meal replacement, supplement nutrition drinks, fruit and nut bar and energy bar categories.</w:t>
      </w:r>
    </w:p>
    <w:p>
      <w:pPr>
        <w:spacing w:after="0" w:line="86"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“fiscal 2013” refers to the fiscal year ended September 30, 2013; “fiscal 2014” refers to the fiscal year ended September 30, 2014; “fiscal 2015” refers to the fiscal year ended September 30, 2015; “fiscal 2016” refers to the fiscal year ended September 30, 2016; “fiscal 2017” refers to the fiscal year ended September 30, 2017; “fiscal 2018” refers to the fiscal year ended September 30, 2018; “fiscal 2019” refers to the fiscal year ending September 30, 2019; and “fiscal 2019, 2020, 2021, 2022 and 2023” refers to the fiscal years ending September 30 for each of 2019, 2020, 2021, 2022 and 2023, respectively.</w:t>
      </w:r>
    </w:p>
    <w:p>
      <w:pPr>
        <w:spacing w:after="0" w:line="93"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“formation transactions” refer to the series of transactions to be completed in connection with this offering pursuant to the master transaction agreement and as described under “Prospectus Summary—Formation Transactions.”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2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“household penetration” refers to the percentage of U.S. households that purchased a specified item at least once during a specified time period.</w:t>
      </w:r>
    </w:p>
    <w:p>
      <w:pPr>
        <w:spacing w:after="0" w:line="75" w:lineRule="exact"/>
        <w:rPr>
          <w:rFonts w:ascii="Arial" w:cs="Arial" w:eastAsia="Arial" w:hAnsi="Arial"/>
          <w:sz w:val="18"/>
          <w:szCs w:val="18"/>
          <w:color w:val="auto"/>
        </w:rPr>
      </w:pPr>
    </w:p>
    <w:p>
      <w:pPr>
        <w:ind w:left="1180" w:right="58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“investor rights agreement” refers to the investor rights agreement to be entered into between Post and BellRing Brands, Inc. in connection with the formation transactions and this offering.</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“master services agreement” refers to the master services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“master transaction agreement” refers to the master transaction agreement to be entered into prior to the completion of this offering among Post, BellRing Brands, Inc. and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“media impressions” refers to the number of people who were exposed to brand messaging at any point during the specified time period.</w:t>
      </w:r>
    </w:p>
    <w:p>
      <w:pPr>
        <w:spacing w:after="0" w:line="153" w:lineRule="exact"/>
        <w:rPr>
          <w:rFonts w:ascii="Arial" w:cs="Arial" w:eastAsia="Arial" w:hAnsi="Arial"/>
          <w:sz w:val="16"/>
          <w:szCs w:val="16"/>
          <w:color w:val="auto"/>
        </w:rPr>
      </w:pPr>
    </w:p>
    <w:p>
      <w:pPr>
        <w:ind w:left="1180" w:right="24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“Post’s Active Nutrition business” refers to the Active Nutrition business of Post which, effective as of the fiscal quarter ended June 30, 2015, has been comprised of the operations and business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w:t>
      </w:r>
    </w:p>
    <w:p>
      <w:pPr>
        <w:spacing w:after="0" w:line="86" w:lineRule="exact"/>
        <w:rPr>
          <w:rFonts w:ascii="Arial" w:cs="Arial" w:eastAsia="Arial" w:hAnsi="Arial"/>
          <w:sz w:val="18"/>
          <w:szCs w:val="18"/>
          <w:color w:val="auto"/>
        </w:rPr>
      </w:pPr>
    </w:p>
    <w:p>
      <w:pPr>
        <w:ind w:left="1180" w:right="20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“Post bridge loan” refers to the $1,225.0 million unsecured bridge loan obtained by Post from various financial institutions in connection with the formation transactions and prior to the completion of this offering, as described under “Prospectus Summary—Debt Financing Arrangements—Post Bridge Loan” and “Description of Certain Indebtedness.”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refers to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which is owned by Premier Nutrition.</w:t>
      </w:r>
    </w:p>
    <w:p>
      <w:pPr>
        <w:spacing w:after="0" w:line="130" w:lineRule="exact"/>
        <w:rPr>
          <w:rFonts w:ascii="Arial" w:cs="Arial" w:eastAsia="Arial" w:hAnsi="Arial"/>
          <w:sz w:val="18"/>
          <w:szCs w:val="18"/>
          <w:color w:val="auto"/>
        </w:rPr>
      </w:pPr>
    </w:p>
    <w:p>
      <w:pPr>
        <w:jc w:val="both"/>
        <w:ind w:left="118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“Premier Nutrition,” prior to the completion of the formation transactions, refers to Premier Nutrition Corporation, a Delaware corporation and wholly-owned subsidiary of Post, and, after the completion of the formation transactions, refers to Premier Nutrition Company, LLC, a Delaware limited liability company and wholly-owned subsidiary of Dymatize Enterprises, LLC.</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“purchase size” refers to the average amount in dollars of product purchased by one buying household on a single shopping trip.</w:t>
      </w:r>
    </w:p>
    <w:p>
      <w:pPr>
        <w:spacing w:after="0" w:line="142" w:lineRule="exact"/>
        <w:rPr>
          <w:rFonts w:ascii="Arial" w:cs="Arial" w:eastAsia="Arial" w:hAnsi="Arial"/>
          <w:sz w:val="17"/>
          <w:szCs w:val="17"/>
          <w:color w:val="auto"/>
        </w:rPr>
      </w:pPr>
    </w:p>
    <w:p>
      <w:pPr>
        <w:ind w:left="1180" w:right="38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“repeat rate” refers to the percentage of buyers of a particular product who purchase that product at least twice during a specified time period.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 of requirements” refers to the percentage of category dollars households spend on the brand in question.</w:t>
      </w:r>
    </w:p>
    <w:p>
      <w:pPr>
        <w:spacing w:after="0" w:line="130"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 of shelf” refers to a metric that compares the number of unique items of a given brand to the total number of shelved items in a category.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“SKU” refers to stock keeping unit.</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“Supreme Protein” refers to Supreme Protein, LLC, a Delaware limited liability company and wholly-owned subsidiary of Dymatize Enterprises, LLC.</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matters agreement” refers to the tax matters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26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receivable agreement” refers to the tax receivable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US xAOC” refers to data from Nielsen tracked channels for the food, drug, mass, Walmart, club, dollar and military channels.</w:t>
      </w:r>
    </w:p>
    <w:p>
      <w:pPr>
        <w:spacing w:after="0" w:line="142" w:lineRule="exact"/>
        <w:rPr>
          <w:rFonts w:ascii="Arial" w:cs="Arial" w:eastAsia="Arial" w:hAnsi="Arial"/>
          <w:sz w:val="17"/>
          <w:szCs w:val="17"/>
          <w:color w:val="auto"/>
        </w:rPr>
      </w:pPr>
    </w:p>
    <w:p>
      <w:pPr>
        <w:ind w:left="5640" w:right="120" w:hanging="5004"/>
        <w:spacing w:after="0" w:line="449" w:lineRule="auto"/>
        <w:tabs>
          <w:tab w:leader="none" w:pos="117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US xAOC including Convenience” refers to data from Nielsen tracked channels for Total US xAOC plus the convenience channel. iii</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“tracked channels” refers to stores and other outlets within channels in which a third party industry source collects and reports sales data on an ongoing basis with SKU level detail. In the convenient nutrition category, tracked channels include food, drug and mass, or FDM, and convenience.</w:t>
      </w:r>
    </w:p>
    <w:p>
      <w:pPr>
        <w:spacing w:after="0" w:line="86" w:lineRule="exact"/>
        <w:rPr>
          <w:rFonts w:ascii="Arial" w:cs="Arial" w:eastAsia="Arial" w:hAnsi="Arial"/>
          <w:sz w:val="18"/>
          <w:szCs w:val="18"/>
          <w:color w:val="auto"/>
        </w:rPr>
      </w:pPr>
    </w:p>
    <w:p>
      <w:pPr>
        <w:ind w:left="1180" w:right="160" w:hanging="544"/>
        <w:spacing w:after="0" w:line="312"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“untracked channels” refers to stores and other outlets within channels in which no third party industry source collects and reports sales data on an ongoing basis with SKU level detail. In the convenient nutrition category, untracked channels include club retailers that do not participate in Nielsen tracking (e.g., Costco) and channels such as eCommerce, foodservice, specialty, vending and dollar.</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“velocity” refers to the speed at which products move off retail shelves to the end consumer for brands or products with sales greater than or equal to one million dollars.</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“we,” “our,” “us,” “the Company” and “our Company” refer to (1) after the completion of the formation transactions, BellRing Brands, Inc. and its subsidiaries, including BellRing Brands, LLC, Premier Nutrition, Dymatize Enterprises, Supreme Protein and Active Nutrition International, and (2) prior to the completion of the formation transactions, Post’s Active Nutrition business, and all references in this prospectus to BellRing Brands, Inc. or BellRing Brands, LLC refer only to such particular entity.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This prospectus includes estimates, projections and other information concerning the convenient nutrition category, including data regarding the estimated size of the market, projected growth rates and perceptions and preferences of customers, that we have prepared based, in part, upon data, forecasts and information obtained from independent trade associations, industry publications and surveys and other independent sources, each of which is either publicly available without charge or available on a subscription fee basis. None of such information was prepared specifically for us in connection with this offering.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prospectus and we believe the industry and market data included in this prospectus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prospectus involve a number of assumptions and limitations, and before making an investment decision, investors need to consider whether the information in this prospectus is appropriate to their needs, objectives and circumstances, and, if necessary, seek expert advice on those matters. Market share data is based on information from Nielsen, Euromonitor and other industry publications, surveys and forecasts.</w:t>
      </w:r>
    </w:p>
    <w:p>
      <w:pPr>
        <w:spacing w:after="0" w:line="169"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This prospectus also presents metrics related to visitors to our brand websites and to our presence on third party social media sites, such as the number of “likes” on our brand Facebook pages and the number of followers of our brand Instagram pages. These metrics contain certain limitations. The number of visitors to our websites has not been independently verified, and there are inherent challenges in measuring our unique visitors accurately. Further, we have relied on the calculations and analysis conducted by the social media sites and our use of third party analytics tools to present metrics that, as closely as possible, reflect genuine users and legitimate user activity on the respective platforms. Data from such sources, however, may include information relating to fraudulent accounts and interactions with our sites and social media accounts or the social media accounts of our influencers (including as a result of the use of bots, or other automated or manual mechanisms to generate false impressions), as well as persons with multiple accounts on one service, deactivated or inactive accounts or multiple views, “likes” or similar actions by the same user. We have only a limited ability to independently verify the metrics provided by social media sites and tools. Investors should not place undue reliance or emphasis on website visits or social media measures given these limitations and the fact that they do not bear any direct relationship to our financial condition or results of operations.</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The name and mark </w:t>
      </w:r>
      <w:r>
        <w:rPr>
          <w:rFonts w:ascii="Arial" w:cs="Arial" w:eastAsia="Arial" w:hAnsi="Arial"/>
          <w:sz w:val="17"/>
          <w:szCs w:val="17"/>
          <w:i w:val="1"/>
          <w:iCs w:val="1"/>
          <w:color w:val="auto"/>
        </w:rPr>
        <w:t>Post</w:t>
      </w:r>
      <w:r>
        <w:rPr>
          <w:rFonts w:ascii="Arial" w:cs="Arial" w:eastAsia="Arial" w:hAnsi="Arial"/>
          <w:sz w:val="14"/>
          <w:szCs w:val="14"/>
          <w:color w:val="auto"/>
        </w:rPr>
        <w:t>®</w:t>
      </w:r>
      <w:r>
        <w:rPr>
          <w:rFonts w:ascii="Arial" w:cs="Arial" w:eastAsia="Arial" w:hAnsi="Arial"/>
          <w:sz w:val="17"/>
          <w:szCs w:val="17"/>
          <w:color w:val="auto"/>
        </w:rPr>
        <w:t xml:space="preserve">, and other trademarks, trade names and service marks containing Post appearing in this prospectus, are the property of Post or one of its subsidiaries (excluding us). Other logos, trademarks, trade names and service marks mentioned in this prospectus, including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Dymatize</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Premier Protein Clear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ISO.100</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Mass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Whey 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100%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Super Mass Gainer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All9 Amino</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Clean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Protein Plus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Joint Juice</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Supreme Protein</w:t>
      </w:r>
      <w:r>
        <w:rPr>
          <w:rFonts w:ascii="Arial" w:cs="Arial" w:eastAsia="Arial" w:hAnsi="Arial"/>
          <w:sz w:val="14"/>
          <w:szCs w:val="14"/>
          <w:color w:val="auto"/>
        </w:rPr>
        <w:t>®</w:t>
      </w:r>
      <w:r>
        <w:rPr>
          <w:rFonts w:ascii="Arial" w:cs="Arial" w:eastAsia="Arial" w:hAnsi="Arial"/>
          <w:sz w:val="17"/>
          <w:szCs w:val="17"/>
          <w:color w:val="auto"/>
        </w:rPr>
        <w:t>, are currently the property of, or are under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us, and we have submitted an application for the trademark </w:t>
      </w:r>
      <w:r>
        <w:rPr>
          <w:rFonts w:ascii="Arial" w:cs="Arial" w:eastAsia="Arial" w:hAnsi="Arial"/>
          <w:sz w:val="17"/>
          <w:szCs w:val="17"/>
          <w:i w:val="1"/>
          <w:iCs w:val="1"/>
          <w:color w:val="auto"/>
        </w:rPr>
        <w:t>BellRing Brands</w:t>
      </w:r>
      <w:r>
        <w:rPr>
          <w:rFonts w:ascii="Arial" w:cs="Arial" w:eastAsia="Arial" w:hAnsi="Arial"/>
          <w:sz w:val="17"/>
          <w:szCs w:val="17"/>
          <w:color w:val="auto"/>
        </w:rPr>
        <w:t>. We own or have rights to use the trademarks, service marks and trade names that we use in conjunction with the operation of our business. Some of the more important trademarks that we own or have rights to use that appear in this prospectus may be registered in the U.S. and other jurisdictions. Each trademark, trade name or service mark of any other company appearing in this prospectus is owned or used under license by such company.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non-GAAP financial measures presented herein and discussed below do not comply with generally accepted accounting principles (“GAAP”) because they are adjusted to exclude (include) certain cash and non-cash income and expenses that would otherwise be included in (excluded from) the most directly comparable GAAP measure in the statement of operations and comprehensive income. These non-GAAP financial measures, which are not necessarily comparable to similarly titled captions of other companies because of differences in the methods of calculation, should not be considered an alternative to, or more meaningful than, related measures determined in accordance with GAAP. As further discussed below, these non-GAAP financial measures supplement other metrics used by management to internally evaluate our business and facilitate the comparison of operations over time.</w:t>
      </w:r>
    </w:p>
    <w:p>
      <w:pPr>
        <w:spacing w:after="0" w:line="18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“Adjusted net earnings” represents a supplemental measure of our operating performance. We believe that Adjusted net earnings is useful to investors in evaluating our operating performance because it excludes items that affect the comparability of our financial results and could potentially distort an understanding of the trends in our business performance. This financial measure is not calculated in accordance with GAAP and should be considered in addition to, and not a substitute for or superior to, measures of our financial position prepared in accordance with GAAP. Our calculation of Adjusted net earnings may not be comparable to similarly titled measures utilized by other companies since such companies may not calculate it in the same manner as we do. In addition, in evaluating Adjusted net earnings, you should be aware that in the future we may incur expenses similar to the adjustments used in deriving these measures and our presentation of Adjusted net earnings should not be construed as implying that our future results will be unaffected by unusual or non-recurring items.</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“Adjusted EBITDA” represents a further supplemental measure of our operating performance and ability to service debt. We believe that Adjusted EBITDA is useful to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You are encouraged to evaluate each adjustment and the reasons we consider them appropriate for supplemental analysis.</w:t>
      </w:r>
    </w:p>
    <w:p>
      <w:pPr>
        <w:spacing w:after="0" w:line="18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6" w:lineRule="exact"/>
        <w:rPr>
          <w:sz w:val="20"/>
          <w:szCs w:val="20"/>
          <w:color w:val="auto"/>
        </w:rPr>
      </w:pPr>
    </w:p>
    <w:p>
      <w:pPr>
        <w:ind w:left="1180" w:hanging="544"/>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our future requirements for capital expenditures;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420" w:hanging="544"/>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our debts; and</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such measures do not reflect any cash requirements for such replacements.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of these and other limitations, you should rely primarily on our GAAP results and use Adjusted net earnings and Adjusted EBITDA only supplementally. In addition, in evaluating Adjusted net earnings and Adjusted EBITDA, you should be aware that in the future we may incur expenses similar to the adjustments used in deriving Adjusted net earnings and Adjusted EBITDA, and our presentation of Adjusted net earnings and Adjusted EBITDA should not be construed as implying that our future results will be unaffected by unusual or non-recurring items. Our calculation of Adjusted net earnings and Adjusted EBITDA may not be comparable to similarly titled measures utilized by other companies since such companies may not calculate them in the same manner as we do.</w:t>
      </w:r>
    </w:p>
    <w:p>
      <w:pPr>
        <w:spacing w:after="0" w:line="19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a reconciliation of Adjusted net earnings and Adjusted EBITDA to the most directly comparable GAAP measure, see “Explanation and Reconciliation of Non-GAAP Measures.”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of the information you should consider before deciding whether to purchase shares of our Class A common stock. You should read the entire prospectus carefully before making your investment decision. You should carefully consider, among other information, Post’s Active Nutrition business’s combined financial statements and the accompanying notes and the information under “Unaudited Pro Forma Condensed Consolidated Financial Information,” “Risk Factors” and “Management’s Discussion and Analysis of Financial Condition and Results of Operations” included elsewhere in this prospectus. Some of the statements in this summary contain forward-looking statements, as discussed under “Cautionary Statement Regarding Forward-Looking Statements.”</w:t>
      </w:r>
    </w:p>
    <w:p>
      <w:pPr>
        <w:spacing w:after="0" w:line="189"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i w:val="1"/>
          <w:iCs w:val="1"/>
          <w:color w:val="auto"/>
        </w:rPr>
        <w:t>We describe in this prospectus Post’s Active Nutrition business that will be transferred to BellRing Brands, LLC as part of the formation transactions described below as if it was our business for all historical periods described. Our historical financial results as part of Post contained in this prospectus may not reflect our financial results in the future as a publicly-traded company no longer wholly-owned by Post or what our financial results would have been had we been such a company during the periods presented.</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target a broad range of consumers and compete in all major product forms, including ready-to-drink (“RTD”) protein shakes, powders and nutrition bars. Our products are distributed across a diverse network of channels including club, food, drug and mass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95" w:lineRule="exact"/>
        <w:rPr>
          <w:sz w:val="20"/>
          <w:szCs w:val="20"/>
          <w:color w:val="auto"/>
        </w:rPr>
      </w:pPr>
    </w:p>
    <w:p>
      <w:pPr>
        <w:ind w:left="1320" w:right="680" w:hanging="515"/>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320" w:right="200" w:hanging="515"/>
        <w:spacing w:after="0" w:line="264"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 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320" w:right="140" w:hanging="515"/>
        <w:spacing w:after="0" w:line="308"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Better Together. </w:t>
      </w:r>
      <w:r>
        <w:rPr>
          <w:rFonts w:ascii="Arial" w:cs="Arial" w:eastAsia="Arial" w:hAnsi="Arial"/>
          <w:sz w:val="17"/>
          <w:szCs w:val="17"/>
          <w:color w:val="auto"/>
        </w:rPr>
        <w:t>We value each member of our team and know that success is only achievable through our collective efforts.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coach rather than tell and work hard to build people up through encouragement and empowerment.</w:t>
      </w:r>
    </w:p>
    <w:p>
      <w:pPr>
        <w:spacing w:after="0" w:line="51" w:lineRule="exact"/>
        <w:rPr>
          <w:rFonts w:ascii="Arial" w:cs="Arial" w:eastAsia="Arial" w:hAnsi="Arial"/>
          <w:sz w:val="17"/>
          <w:szCs w:val="17"/>
          <w:color w:val="auto"/>
        </w:rPr>
      </w:pPr>
    </w:p>
    <w:p>
      <w:pPr>
        <w:ind w:left="1320" w:right="100" w:hanging="515"/>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 xml:space="preserve">We believe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one of the top growth brands in the U.S. convenient nutrition category based on Nielsen data for Total US xAOC including Convenience for the 52 week period ended August 3, 2019 and is positioned to appeal to mainstream consumers focused on healthy nutrition.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holds the #1 share position in the convenient nutrition category and RTD protein shakes as measured by Nielsen household panel data for all outlets for the 52 week period ended July 27, 2019.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grew at a CAGR of 42% from fiscal 2016 to fiscal 2018.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is a market leader targeting fitness enthusiasts, who value the brand for its science-based product development and athletic performance focus. 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one of the most well-known brands in the convenient nutrition category based on a survey powered by Qualtrics performed in June 2019 and targets a range of consumers from committed athletes to active individuals.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58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4558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diverse product portfolio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459" w:right="7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27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727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920"/>
        <w:spacing w:after="0"/>
        <w:tabs>
          <w:tab w:leader="none" w:pos="68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Fiscal 2018 Net Sales By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more frequently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the need state where we have our largest presence, is the fastest-growing need state in the category based on Nielsen data for Total US xAOC including Convenience for the 52 week period ended August 8, 2015 and the comparable period in 2019 and spans a range of consumption occasions, including breakfast, snack, meal replacement and treat. In the U.S., management estimates that the everyday nutrition need state accounted for $3.2 billion in sales for the 52 week period ended August 3, 2019 and grew at a 17% CAGR from 2015 to 2019, based on data from Nielsen for Total US xAOC including Convenience.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are primarily focused on the sports nutrition need state.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240" w:top="459"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leadership position in the club channel based on Nielsen household panel data for the 52 week period ended July 27, 2019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8" w:lineRule="exact"/>
        <w:rPr>
          <w:sz w:val="20"/>
          <w:szCs w:val="20"/>
          <w:color w:val="auto"/>
        </w:rPr>
      </w:pPr>
    </w:p>
    <w:p>
      <w:pPr>
        <w:ind w:left="380" w:right="80" w:firstLine="426"/>
        <w:spacing w:after="0" w:line="290" w:lineRule="auto"/>
        <w:rPr>
          <w:sz w:val="20"/>
          <w:szCs w:val="20"/>
          <w:color w:val="auto"/>
        </w:rPr>
      </w:pPr>
      <w:r>
        <w:rPr>
          <w:rFonts w:ascii="Arial" w:cs="Arial" w:eastAsia="Arial" w:hAnsi="Arial"/>
          <w:sz w:val="16"/>
          <w:szCs w:val="16"/>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jc w:val="both"/>
        <w:ind w:left="380" w:firstLine="426"/>
        <w:spacing w:after="0" w:line="286" w:lineRule="auto"/>
        <w:rPr>
          <w:sz w:val="20"/>
          <w:szCs w:val="20"/>
          <w:color w:val="auto"/>
        </w:rPr>
      </w:pPr>
      <w:r>
        <w:rPr>
          <w:rFonts w:ascii="Arial" w:cs="Arial" w:eastAsia="Arial" w:hAnsi="Arial"/>
          <w:sz w:val="17"/>
          <w:szCs w:val="17"/>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 and is expected to grow to $21.2 billion by 2021.</w:t>
      </w:r>
    </w:p>
    <w:p>
      <w:pPr>
        <w:spacing w:after="0" w:line="166"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Additionally, as the IRI 2019 State of the Snack Food Industry report highlights, consumers are increasingly eating more frequently throughout the day, with 47% of consumers snacking more than three times a day. In fact, according to Mintel’s 2019 report, Snacking Motivations and Attitudes, 95% of U.S. adults snack daily.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24% and 11%, respectively, versus 43% for bars for the 52 week period ended July 27, 2019 according to Nielsen household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60"/>
        <w:spacing w:after="0" w:line="342" w:lineRule="auto"/>
        <w:rPr>
          <w:sz w:val="20"/>
          <w:szCs w:val="20"/>
          <w:color w:val="auto"/>
        </w:rPr>
      </w:pPr>
      <w:r>
        <w:rPr>
          <w:rFonts w:ascii="Arial" w:cs="Arial" w:eastAsia="Arial" w:hAnsi="Arial"/>
          <w:sz w:val="16"/>
          <w:szCs w:val="16"/>
          <w:color w:val="auto"/>
        </w:rPr>
        <w:t>panel data for all outlets. These statistics, together with a modest household penetration of just 5% for our RTD protein shakes for the 52 week period ended July 27, 2019 according to Nielsen household panel data for all outlets, demonstrate our significant room for further growth.</w:t>
      </w:r>
    </w:p>
    <w:p>
      <w:pPr>
        <w:spacing w:after="0" w:line="124"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Flagship Brand Supported by Other Well-Recognized Brands with Growth Potential</w:t>
      </w:r>
    </w:p>
    <w:p>
      <w:pPr>
        <w:spacing w:after="0" w:line="117"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flagship brand and is supported by a portfolio of other well-recognized brands with growth potential.</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 xml:space="preserve">is positioned to appeal to mainstream consumers seeking convenient, delicious protein products they can enjoy throughout the day. Our 11 ounce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 epitomizes this brand commitment, providing a great-tasting, on-the-go beverage with 30 grams of protein and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for liquid brands with sales greater than $2.0 million based on Nielsen household panel data for all outlets for the 52 week period ended July 27, 2019.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category and the convenient nutrition RTD category based on Nielsen household panel data for all outlets for the 52 week period ended July 27, 2019.</w:t>
      </w:r>
    </w:p>
    <w:p>
      <w:pPr>
        <w:spacing w:after="0" w:line="175"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development, 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entry into club and mass, which remain large growth opportunities.</w:t>
      </w:r>
    </w:p>
    <w:p>
      <w:pPr>
        <w:spacing w:after="0" w:line="189"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is one of the most well-known brands in the convenient nutrition category based on a survey powered by Qualtrics performed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June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is positioned as a high-quality brand both in the U.S. and internationally and has a notable presence in Western Europe.</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delivers products with high protein and superior taste. The brand’s RTD protein shakes are formulated to deliver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protein while maintaining one of the leanest nutritional profiles (as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 xml:space="preserve">measured by sugar and calorie content) in the convenient nutrition category. Our RTD protein shakes are gluten- and soy-free, low fat and fortified with 24 vitamins and minerals while maintaining a superior taste profile and certain of our RTD protein shake flavors were awarded the American Masters of Taste Gold Medal for 2015, 2016, 2017, 2018 and 2019. We recently have accelerated our efforts to expand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portfolio to include new flavors, powders and nutrition bars.</w:t>
      </w:r>
    </w:p>
    <w:p>
      <w:pPr>
        <w:spacing w:after="0" w:line="18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xml:space="preserve">, is a fast absorbing, easily digestible and easily soluble powder.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won the “Isolate Protein of the Year” award for 2013 through 2017 as part of the annual Bodybuilding.com Supplement Awards. It also is known for its exceptional taste which, combined with its leading nutritional attributes, has allowed the brand to develop a large and loyal consumer following. As of July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 xml:space="preserve">PowerBar </w:t>
      </w:r>
      <w:r>
        <w:rPr>
          <w:rFonts w:ascii="Arial" w:cs="Arial" w:eastAsia="Arial" w:hAnsi="Arial"/>
          <w:sz w:val="16"/>
          <w:szCs w:val="16"/>
          <w:color w:val="auto"/>
        </w:rPr>
        <w:t>has expanded its product portfolio to include a natural vegan protein bar and protein bars fortified with calcium and magnesium.</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Our sales in the club channel grew at a 31% CAGR from fiscal 2016 to fiscal 2018.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club, mass and drug customers as well as several regional grocery customers.</w:t>
      </w:r>
    </w:p>
    <w:p>
      <w:pPr>
        <w:spacing w:after="0" w:line="193"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240" w:top="459"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6487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an attractive financial profile with a track record of significant organic growth. Net sales have grown organically from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$574.7 million in fiscal 2016 to $827.5 million in fiscal 2018, representing a CAGR of 20%. Similarly, net income grew from $19.9 million in</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fiscal 2016 to $96.1 million in fiscal 2018, representing a CAGR of 120%, Adjusted net earnings grew from $29.3 million in fiscal 2016 to $93.3</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million in fiscal 2018, representing a CAGR of 78% and Adjusted EBITDA grew from $72.0 million in fiscal 2016 to $156.5 million in fiscal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 representing a CAGR of 47%. See “Explanation and Reconciliation of Non-GAAP Measures” for a reconciliation of Adjusted net earnings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and Adjusted EBITDA, each a non-GAAP measure, to the most directly comparable GAAP measure. In addition, our operating margin profile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benefits from the quality of our brand portfolio and our lean organization structure. Our asset-light business model requires modest capital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expenditures, with annual capital expenditures averaging less than 1% of net sales over the last three years. Our margin profile, along with our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capital expenditure-light model and limited working capital requirements, drive consistently high cash flow generation, providing significant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financial flexibility to continue to reinvest in our business and pursue value enhancing acquisition opportunities as they arise.</w:t>
      </w:r>
    </w:p>
    <w:p>
      <w:pPr>
        <w:spacing w:after="0" w:line="31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3" w:lineRule="exact"/>
        <w:rPr>
          <w:sz w:val="20"/>
          <w:szCs w:val="20"/>
          <w:color w:val="auto"/>
        </w:rPr>
      </w:pPr>
    </w:p>
    <w:p>
      <w:pPr>
        <w:ind w:left="380" w:right="260" w:firstLine="426"/>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73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6873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380" w:firstLine="426"/>
        <w:spacing w:after="0" w:line="290"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the convenient nutrition category and RTD protein shakes as measured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Nielsen household panel data for all outlets for the 52 week period ended July 27, 2019. However, household penetration for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is 5% (compared to 24% for liquids in the convenient nutrition category) for the 52 week period ended July 27, 2019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brand through new category buyers and incremental consumption by existing buyers. We</w:t>
      </w:r>
    </w:p>
    <w:p>
      <w:pPr>
        <w:spacing w:after="0" w:line="200" w:lineRule="exact"/>
        <w:rPr>
          <w:sz w:val="20"/>
          <w:szCs w:val="20"/>
          <w:color w:val="auto"/>
        </w:rPr>
      </w:pPr>
    </w:p>
    <w:p>
      <w:pPr>
        <w:spacing w:after="0" w:line="3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24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85" w:lineRule="auto"/>
        <w:rPr>
          <w:sz w:val="20"/>
          <w:szCs w:val="20"/>
          <w:color w:val="auto"/>
        </w:rPr>
      </w:pPr>
      <w:r>
        <w:rPr>
          <w:rFonts w:ascii="Arial" w:cs="Arial" w:eastAsia="Arial" w:hAnsi="Arial"/>
          <w:sz w:val="16"/>
          <w:szCs w:val="16"/>
          <w:color w:val="auto"/>
        </w:rPr>
        <w:t xml:space="preserve">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can play in healthy and active lifestyles. We plan to continue investing in comprehensive marketing plans that include national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w:t>
      </w:r>
    </w:p>
    <w:p>
      <w:pPr>
        <w:spacing w:after="0" w:line="2" w:lineRule="exact"/>
        <w:rPr>
          <w:sz w:val="20"/>
          <w:szCs w:val="20"/>
          <w:color w:val="auto"/>
        </w:rPr>
      </w:pPr>
    </w:p>
    <w:p>
      <w:pPr>
        <w:ind w:left="380" w:right="240"/>
        <w:spacing w:after="0" w:line="255" w:lineRule="auto"/>
        <w:rPr>
          <w:sz w:val="20"/>
          <w:szCs w:val="20"/>
          <w:color w:val="auto"/>
        </w:rPr>
      </w:pPr>
      <w:r>
        <w:rPr>
          <w:rFonts w:ascii="Arial" w:cs="Arial" w:eastAsia="Arial" w:hAnsi="Arial"/>
          <w:sz w:val="18"/>
          <w:szCs w:val="18"/>
          <w:color w:val="auto"/>
        </w:rPr>
        <w:t xml:space="preserve">We believe this marketing approach increases relevance, credibility and memorability among our consumers, positioning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90"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brands among fitness enthusiasts via our global network of athlete brand ambassadors, along with increased advertising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connection via digital channels and our social media outlets.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380" w:right="40" w:firstLine="426"/>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initial dollar velocities versus its competitors based on data from Nielsen for Total US xAOC including Convenience for the 13 week period ended July 27, 2019.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9"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since the end of fiscal 2015 and accounted for 25% of fiscal 2018 net sales of our </w:t>
      </w:r>
      <w:r>
        <w:rPr>
          <w:rFonts w:ascii="Arial" w:cs="Arial" w:eastAsia="Arial" w:hAnsi="Arial"/>
          <w:sz w:val="18"/>
          <w:szCs w:val="18"/>
          <w:i w:val="1"/>
          <w:iCs w:val="1"/>
          <w:color w:val="auto"/>
        </w:rPr>
        <w:t>Premier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spacing w:after="0" w:line="269" w:lineRule="auto"/>
        <w:rPr>
          <w:sz w:val="20"/>
          <w:szCs w:val="20"/>
          <w:color w:val="auto"/>
        </w:rPr>
      </w:pP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shakes. We expect to introduce two additional flavors in the fall of 2019. We also have improved the taste of our</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 xml:space="preserve">powder and nutrition bar formulations to ensure we continue to delight consumers. We believe our new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offering has achieved top 10% category velocities in FDM since its launch in December 2017 based on Nielsen tracked channels data for the 52 week period ended August 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August 10, 2019. We launched this platform across both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The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Clear </w:t>
      </w:r>
      <w:r>
        <w:rPr>
          <w:rFonts w:ascii="Arial" w:cs="Arial" w:eastAsia="Arial" w:hAnsi="Arial"/>
          <w:sz w:val="17"/>
          <w:szCs w:val="17"/>
          <w:color w:val="auto"/>
        </w:rPr>
        <w:t>RTD product is now distributed nationwide in Costco and other key retailers.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continues to be a leader in disruptive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innovation with several leading products for its core enthusiasts, the most recent being </w:t>
      </w:r>
      <w:r>
        <w:rPr>
          <w:rFonts w:ascii="Arial" w:cs="Arial" w:eastAsia="Arial" w:hAnsi="Arial"/>
          <w:sz w:val="17"/>
          <w:szCs w:val="17"/>
          <w:i w:val="1"/>
          <w:iCs w:val="1"/>
          <w:color w:val="auto"/>
        </w:rPr>
        <w:t>All9 Amino</w:t>
      </w:r>
      <w:r>
        <w:rPr>
          <w:rFonts w:ascii="Arial" w:cs="Arial" w:eastAsia="Arial" w:hAnsi="Arial"/>
          <w:sz w:val="17"/>
          <w:szCs w:val="17"/>
          <w:color w:val="auto"/>
        </w:rPr>
        <w:t>, a supplement that provides the nine essential amino acids for optimal muscle protein synthesis.</w:t>
      </w:r>
    </w:p>
    <w:p>
      <w:pPr>
        <w:spacing w:after="0" w:line="183"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380" w:right="100" w:firstLine="426"/>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and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in Canada.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9"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have near and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United Kingdom (the “U.K.”), Japan and Australia.</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380" w:right="380" w:firstLine="426"/>
        <w:spacing w:after="0" w:line="264"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78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20"/>
        <w:spacing w:after="0" w:line="259" w:lineRule="auto"/>
        <w:rPr>
          <w:sz w:val="20"/>
          <w:szCs w:val="20"/>
          <w:color w:val="auto"/>
        </w:rPr>
      </w:pPr>
      <w:r>
        <w:rPr>
          <w:rFonts w:ascii="Arial" w:cs="Arial" w:eastAsia="Arial" w:hAnsi="Arial"/>
          <w:sz w:val="18"/>
          <w:szCs w:val="18"/>
          <w:color w:val="auto"/>
        </w:rPr>
        <w:t>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Risks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An investment in our Class A common stock involves a high degree of risk. You should carefully consider the risks summarized in the “Risk</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but are not limited to, the following:</w:t>
      </w:r>
    </w:p>
    <w:p>
      <w:pPr>
        <w:spacing w:after="0" w:line="128" w:lineRule="exact"/>
        <w:rPr>
          <w:sz w:val="20"/>
          <w:szCs w:val="20"/>
          <w:color w:val="auto"/>
        </w:rPr>
      </w:pPr>
    </w:p>
    <w:p>
      <w:pPr>
        <w:ind w:left="1320" w:right="18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75" w:lineRule="exact"/>
        <w:rPr>
          <w:rFonts w:ascii="Arial" w:cs="Arial" w:eastAsia="Arial" w:hAnsi="Arial"/>
          <w:sz w:val="18"/>
          <w:szCs w:val="18"/>
          <w:color w:val="auto"/>
        </w:rPr>
      </w:pPr>
    </w:p>
    <w:p>
      <w:pPr>
        <w:ind w:left="1320" w:hanging="515"/>
        <w:spacing w:after="0" w:line="290"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 For example, due to a combination of better than expected volume growth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w:t>
      </w:r>
    </w:p>
    <w:p>
      <w:pPr>
        <w:spacing w:after="0" w:line="71" w:lineRule="exact"/>
        <w:rPr>
          <w:rFonts w:ascii="Arial" w:cs="Arial" w:eastAsia="Arial" w:hAnsi="Arial"/>
          <w:sz w:val="16"/>
          <w:szCs w:val="16"/>
          <w:color w:val="auto"/>
        </w:rPr>
      </w:pPr>
    </w:p>
    <w:p>
      <w:pPr>
        <w:ind w:left="1320" w:hanging="515"/>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30" w:lineRule="exact"/>
        <w:rPr>
          <w:rFonts w:ascii="Arial" w:cs="Arial" w:eastAsia="Arial" w:hAnsi="Arial"/>
          <w:sz w:val="18"/>
          <w:szCs w:val="18"/>
          <w:color w:val="auto"/>
        </w:rPr>
      </w:pPr>
    </w:p>
    <w:p>
      <w:pPr>
        <w:ind w:left="1320" w:right="6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75" w:lineRule="exact"/>
        <w:rPr>
          <w:rFonts w:ascii="Arial" w:cs="Arial" w:eastAsia="Arial" w:hAnsi="Arial"/>
          <w:sz w:val="18"/>
          <w:szCs w:val="18"/>
          <w:color w:val="auto"/>
        </w:rPr>
      </w:pPr>
    </w:p>
    <w:p>
      <w:pPr>
        <w:ind w:left="1320" w:right="20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75" w:lineRule="exact"/>
        <w:rPr>
          <w:rFonts w:ascii="Arial" w:cs="Arial" w:eastAsia="Arial" w:hAnsi="Arial"/>
          <w:sz w:val="18"/>
          <w:szCs w:val="18"/>
          <w:color w:val="auto"/>
        </w:rPr>
      </w:pPr>
    </w:p>
    <w:p>
      <w:pPr>
        <w:ind w:left="1320" w:right="16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our distribution channels, and competitive, economic and other pressures facing our customers, may hurt our profit margins.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develop and offer products to meet these preferences.</w:t>
      </w:r>
    </w:p>
    <w:p>
      <w:pPr>
        <w:spacing w:after="0" w:line="142" w:lineRule="exact"/>
        <w:rPr>
          <w:rFonts w:ascii="Arial" w:cs="Arial" w:eastAsia="Arial" w:hAnsi="Arial"/>
          <w:sz w:val="17"/>
          <w:szCs w:val="17"/>
          <w:color w:val="auto"/>
        </w:rPr>
      </w:pPr>
    </w:p>
    <w:p>
      <w:pPr>
        <w:ind w:left="1320" w:hanging="515"/>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sales and profit growth are dependent upon our ability to expand existing market penetration and enter into new markets.</w:t>
      </w:r>
    </w:p>
    <w:p>
      <w:pPr>
        <w:spacing w:after="0" w:line="142" w:lineRule="exact"/>
        <w:rPr>
          <w:rFonts w:ascii="Arial" w:cs="Arial" w:eastAsia="Arial" w:hAnsi="Arial"/>
          <w:sz w:val="17"/>
          <w:szCs w:val="17"/>
          <w:color w:val="auto"/>
        </w:rPr>
      </w:pPr>
    </w:p>
    <w:p>
      <w:pPr>
        <w:ind w:left="1320" w:right="6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BellRing Brands, LLC will have significant debt and high leverage, which could have a negative impact on our financing options and liquidity position and which could adversely affect our business.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 controls our Company and will have the ability to control the direction of our business.</w:t>
      </w:r>
    </w:p>
    <w:p>
      <w:pPr>
        <w:spacing w:after="0" w:line="130" w:lineRule="exact"/>
        <w:rPr>
          <w:rFonts w:ascii="Arial" w:cs="Arial" w:eastAsia="Arial" w:hAnsi="Arial"/>
          <w:sz w:val="18"/>
          <w:szCs w:val="18"/>
          <w:color w:val="auto"/>
        </w:rPr>
      </w:pPr>
    </w:p>
    <w:p>
      <w:pPr>
        <w:ind w:left="1320" w:right="300" w:hanging="515"/>
        <w:spacing w:after="0" w:line="308"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200" w:lineRule="exact"/>
        <w:rPr>
          <w:sz w:val="20"/>
          <w:szCs w:val="20"/>
          <w:color w:val="auto"/>
        </w:rPr>
      </w:pPr>
    </w:p>
    <w:p>
      <w:pPr>
        <w:spacing w:after="0" w:line="3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24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8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6838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180" w:hanging="515"/>
        <w:spacing w:after="0" w:line="264"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81"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adversely affected.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Formation Transactions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Summary of Formation Transactions</w:t>
      </w:r>
    </w:p>
    <w:p>
      <w:pPr>
        <w:spacing w:after="0" w:line="117"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In connection with this offering, and pursuant to the master transaction agreement, we and Post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“formation transactions.” The formation transactions include, or will include, the following:</w:t>
      </w:r>
    </w:p>
    <w:p>
      <w:pPr>
        <w:spacing w:after="0" w:line="92" w:lineRule="exact"/>
        <w:rPr>
          <w:sz w:val="20"/>
          <w:szCs w:val="20"/>
          <w:color w:val="auto"/>
        </w:rPr>
      </w:pPr>
    </w:p>
    <w:p>
      <w:pPr>
        <w:ind w:left="1320" w:right="140" w:hanging="515"/>
        <w:spacing w:after="0" w:line="264"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20, 2019, Post formed BellRing Brands, Inc. as a Delaware corporation for this offering. The initial certificate of incorporation of BellRing Brands, Inc. authorized 1,000 shares of common stock, par value $0.01 per share, all of which were issued to Post for $10.00 in the aggregate.</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completion of this offering:</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 Blockers merged with and into the A Blocker, with the A Blocker as the sole surviving corporation;</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Premier Nutrition converted from a Delaware corporation to a Delaware limited liability company;</w:t>
      </w:r>
    </w:p>
    <w:p>
      <w:pPr>
        <w:spacing w:after="0" w:line="130" w:lineRule="exact"/>
        <w:rPr>
          <w:rFonts w:ascii="Arial" w:cs="Arial" w:eastAsia="Arial" w:hAnsi="Arial"/>
          <w:sz w:val="18"/>
          <w:szCs w:val="18"/>
          <w:color w:val="auto"/>
        </w:rPr>
      </w:pPr>
    </w:p>
    <w:p>
      <w:pPr>
        <w:ind w:left="1740" w:right="40" w:hanging="408"/>
        <w:spacing w:after="0" w:line="277" w:lineRule="auto"/>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distributed to Post their respective intercompany receivables due from Post, in cancellation of such intercompany balances;</w:t>
      </w:r>
    </w:p>
    <w:p>
      <w:pPr>
        <w:spacing w:after="0" w:line="75" w:lineRule="exact"/>
        <w:rPr>
          <w:rFonts w:ascii="Arial" w:cs="Arial" w:eastAsia="Arial" w:hAnsi="Arial"/>
          <w:sz w:val="18"/>
          <w:szCs w:val="18"/>
          <w:color w:val="auto"/>
        </w:rPr>
      </w:pPr>
    </w:p>
    <w:p>
      <w:pPr>
        <w:ind w:left="1740" w:right="140" w:hanging="408"/>
        <w:spacing w:after="0" w:line="277" w:lineRule="auto"/>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Post Acquisition Sub IV, LLC merged with and into BellRing Brands, LLC, with BellRing Brands, LLC as the surviving entity and, as a result, Active Nutrition International is a direct subsidiary of BellRing Brands, LLC;</w:t>
      </w:r>
    </w:p>
    <w:p>
      <w:pPr>
        <w:spacing w:after="0" w:line="75" w:lineRule="exact"/>
        <w:rPr>
          <w:rFonts w:ascii="Arial" w:cs="Arial" w:eastAsia="Arial" w:hAnsi="Arial"/>
          <w:sz w:val="18"/>
          <w:szCs w:val="18"/>
          <w:color w:val="auto"/>
        </w:rPr>
      </w:pPr>
    </w:p>
    <w:p>
      <w:pPr>
        <w:ind w:left="1740" w:right="60" w:hanging="408"/>
        <w:spacing w:after="0" w:line="277" w:lineRule="auto"/>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Post contributed all of the equity interests in Premier Nutrition to BellRing Brands, LLC, such that BellRing Brands, LLC is the direct holder of such equity interests; and</w:t>
      </w:r>
    </w:p>
    <w:p>
      <w:pPr>
        <w:spacing w:after="0" w:line="75" w:lineRule="exact"/>
        <w:rPr>
          <w:rFonts w:ascii="Arial" w:cs="Arial" w:eastAsia="Arial" w:hAnsi="Arial"/>
          <w:sz w:val="18"/>
          <w:szCs w:val="18"/>
          <w:color w:val="auto"/>
        </w:rPr>
      </w:pPr>
    </w:p>
    <w:p>
      <w:pPr>
        <w:ind w:left="1740" w:right="120" w:hanging="408"/>
        <w:spacing w:after="0" w:line="259" w:lineRule="auto"/>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Post borrowed $1,225.0 million under the Post bridge loan, and certain of its subsidiaries are guarantors of the Post bridge loan (other than BellRing Brands, Inc., but including BellRing Brands, LLC and its domestic subsidiaries) as described under “— Debt Financing Arrangements—Post Bridge Loan” and “Description of Certain Indebtedness.” We will not receive any of the proceeds of the Post bridge loan.</w:t>
      </w:r>
    </w:p>
    <w:p>
      <w:pPr>
        <w:spacing w:after="0" w:line="92" w:lineRule="exact"/>
        <w:rPr>
          <w:rFonts w:ascii="Arial" w:cs="Arial" w:eastAsia="Arial" w:hAnsi="Arial"/>
          <w:sz w:val="18"/>
          <w:szCs w:val="18"/>
          <w:color w:val="auto"/>
        </w:rPr>
      </w:pPr>
    </w:p>
    <w:p>
      <w:pPr>
        <w:ind w:left="1320" w:hanging="51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the same day this offering is completed, but prior to the completion of this offering:</w:t>
      </w:r>
    </w:p>
    <w:p>
      <w:pPr>
        <w:spacing w:after="0" w:line="130" w:lineRule="exact"/>
        <w:rPr>
          <w:rFonts w:ascii="Arial" w:cs="Arial" w:eastAsia="Arial" w:hAnsi="Arial"/>
          <w:sz w:val="18"/>
          <w:szCs w:val="18"/>
          <w:color w:val="auto"/>
        </w:rPr>
      </w:pPr>
    </w:p>
    <w:p>
      <w:pPr>
        <w:ind w:left="1740" w:right="240" w:hanging="408"/>
        <w:spacing w:after="0" w:line="277" w:lineRule="auto"/>
        <w:tabs>
          <w:tab w:leader="none" w:pos="1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BellRing Brands, Inc. will amend and restate its certificate of incorporation and bylaws to provide for two classes of common stock:</w:t>
      </w:r>
    </w:p>
    <w:p>
      <w:pPr>
        <w:spacing w:after="0" w:line="75" w:lineRule="exact"/>
        <w:rPr>
          <w:rFonts w:ascii="Arial" w:cs="Arial" w:eastAsia="Arial" w:hAnsi="Arial"/>
          <w:sz w:val="18"/>
          <w:szCs w:val="18"/>
          <w:color w:val="auto"/>
        </w:rPr>
      </w:pPr>
    </w:p>
    <w:p>
      <w:pPr>
        <w:ind w:left="2380" w:hanging="616"/>
        <w:spacing w:after="0" w:line="257" w:lineRule="auto"/>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 so long as Post or its affiliates (other than us) directly own more than 50% of the BellRing Brands, LLC Units, will, in the aggregate, represent 33% of the combined voting power of the common stock of BellRing Brands, Inc., as described under “Description of Capital Stock;” and</w:t>
      </w:r>
    </w:p>
    <w:p>
      <w:pPr>
        <w:spacing w:after="0" w:line="93" w:lineRule="exact"/>
        <w:rPr>
          <w:rFonts w:ascii="Arial" w:cs="Arial" w:eastAsia="Arial" w:hAnsi="Arial"/>
          <w:sz w:val="18"/>
          <w:szCs w:val="18"/>
          <w:color w:val="auto"/>
        </w:rPr>
      </w:pPr>
    </w:p>
    <w:p>
      <w:pPr>
        <w:ind w:left="2380" w:right="340" w:hanging="616"/>
        <w:spacing w:after="0" w:line="277" w:lineRule="auto"/>
        <w:tabs>
          <w:tab w:leader="none" w:pos="23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Class B common stock, par value $0.01 per share, which will have no economic interests and, so long as Post or its affiliates (other than us) directly own more than 50%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03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300" w:right="520"/>
        <w:spacing w:after="0" w:line="277" w:lineRule="auto"/>
        <w:rPr>
          <w:sz w:val="20"/>
          <w:szCs w:val="20"/>
          <w:color w:val="auto"/>
        </w:rPr>
      </w:pPr>
      <w:r>
        <w:rPr>
          <w:rFonts w:ascii="Arial" w:cs="Arial" w:eastAsia="Arial" w:hAnsi="Arial"/>
          <w:sz w:val="18"/>
          <w:szCs w:val="18"/>
          <w:color w:val="auto"/>
        </w:rPr>
        <w:t>BellRing Brands, LLC Units, will represent 67% of the combined voting power of the common stock of BellRing Brands, Inc., as described under “Description of Capital Stock;”</w:t>
      </w:r>
    </w:p>
    <w:p>
      <w:pPr>
        <w:spacing w:after="0" w:line="76" w:lineRule="exact"/>
        <w:rPr>
          <w:sz w:val="20"/>
          <w:szCs w:val="20"/>
          <w:color w:val="auto"/>
        </w:rPr>
      </w:pPr>
    </w:p>
    <w:p>
      <w:pPr>
        <w:jc w:val="both"/>
        <w:ind w:left="1740" w:right="40" w:hanging="408"/>
        <w:spacing w:after="0" w:line="286" w:lineRule="auto"/>
        <w:tabs>
          <w:tab w:leader="none" w:pos="17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BellRing Brands, Inc. will issue to Post (in exchange for the 1,000 shares of common stock initially issued to Post in connection with its incorporation, which shares will be cancelled as part of the exchange) one share of Class B common stock, which share of Class B common stock cannot be transferred by Post except to its affiliates (other than us).</w:t>
      </w:r>
    </w:p>
    <w:p>
      <w:pPr>
        <w:spacing w:after="0" w:line="70" w:lineRule="exact"/>
        <w:rPr>
          <w:rFonts w:ascii="Arial" w:cs="Arial" w:eastAsia="Arial" w:hAnsi="Arial"/>
          <w:sz w:val="17"/>
          <w:szCs w:val="17"/>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same day this offering is completed:</w:t>
      </w:r>
    </w:p>
    <w:p>
      <w:pPr>
        <w:spacing w:after="0" w:line="130" w:lineRule="exact"/>
        <w:rPr>
          <w:rFonts w:ascii="Arial" w:cs="Arial" w:eastAsia="Arial" w:hAnsi="Arial"/>
          <w:sz w:val="18"/>
          <w:szCs w:val="18"/>
          <w:color w:val="auto"/>
        </w:rPr>
      </w:pPr>
    </w:p>
    <w:p>
      <w:pPr>
        <w:ind w:left="1740" w:right="140" w:hanging="408"/>
        <w:spacing w:after="0" w:line="25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 as described under “—Debt Financing Arrangements—Post Bridge Loan” and “Description of Certain Indebtedness;”</w:t>
      </w:r>
    </w:p>
    <w:p>
      <w:pPr>
        <w:spacing w:after="0" w:line="93" w:lineRule="exact"/>
        <w:rPr>
          <w:rFonts w:ascii="Arial" w:cs="Arial" w:eastAsia="Arial" w:hAnsi="Arial"/>
          <w:sz w:val="18"/>
          <w:szCs w:val="18"/>
          <w:color w:val="auto"/>
        </w:rPr>
      </w:pPr>
    </w:p>
    <w:p>
      <w:pPr>
        <w:ind w:left="1740" w:right="60" w:hanging="408"/>
        <w:spacing w:after="0" w:line="264"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BellRing Brands, Inc. and BellRing Brands, LLC and its subsidiaries will be designated “unrestricted subsidiaries” under Post’s senior note indentures and secured credit facility, as described under “—Debt Financing Arrangements” and “Description of Certain Indebtedness;”</w:t>
      </w:r>
    </w:p>
    <w:p>
      <w:pPr>
        <w:spacing w:after="0" w:line="86" w:lineRule="exact"/>
        <w:rPr>
          <w:rFonts w:ascii="Arial" w:cs="Arial" w:eastAsia="Arial" w:hAnsi="Arial"/>
          <w:sz w:val="18"/>
          <w:szCs w:val="18"/>
          <w:color w:val="auto"/>
        </w:rPr>
      </w:pPr>
    </w:p>
    <w:p>
      <w:pPr>
        <w:ind w:left="1740" w:right="240" w:hanging="408"/>
        <w:spacing w:after="0" w:line="264"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BellRing Brands, LLC, BellRing Brands, Inc. and Post will amend and restate the BellRing Brands, LLC limited liability company agreement to provide, among other things, that BellRing Brands, LLC will be manager managed and governed by a Board of Managers and will have two classes of membership units:</w:t>
      </w:r>
    </w:p>
    <w:p>
      <w:pPr>
        <w:spacing w:after="0" w:line="86" w:lineRule="exact"/>
        <w:rPr>
          <w:rFonts w:ascii="Arial" w:cs="Arial" w:eastAsia="Arial" w:hAnsi="Arial"/>
          <w:sz w:val="18"/>
          <w:szCs w:val="18"/>
          <w:color w:val="auto"/>
        </w:rPr>
      </w:pPr>
    </w:p>
    <w:p>
      <w:pPr>
        <w:ind w:left="2380" w:right="360" w:hanging="616"/>
        <w:spacing w:after="0" w:line="277" w:lineRule="auto"/>
        <w:tabs>
          <w:tab w:leader="none" w:pos="2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 voting membership unit, which will represent no economic interests and will have the power to appoint all of the Board of Managers of BellRing Brands, LLC; and</w:t>
      </w:r>
    </w:p>
    <w:p>
      <w:pPr>
        <w:spacing w:after="0" w:line="75" w:lineRule="exact"/>
        <w:rPr>
          <w:rFonts w:ascii="Arial" w:cs="Arial" w:eastAsia="Arial" w:hAnsi="Arial"/>
          <w:sz w:val="18"/>
          <w:szCs w:val="18"/>
          <w:color w:val="auto"/>
        </w:rPr>
      </w:pPr>
    </w:p>
    <w:p>
      <w:pPr>
        <w:ind w:left="2380" w:right="100" w:hanging="616"/>
        <w:spacing w:after="0" w:line="277" w:lineRule="auto"/>
        <w:tabs>
          <w:tab w:leader="none" w:pos="2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BellRing Brands, LLC Units, which will be non-voting membership units and which will represent economic interests in BellRing Brands, LLC;</w:t>
      </w:r>
    </w:p>
    <w:p>
      <w:pPr>
        <w:spacing w:after="0" w:line="75"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Post’s membership interests in BellRing Brands, LLC will be reclassified as 97,474,180 BellRing Brands, LLC Units;</w:t>
      </w:r>
    </w:p>
    <w:p>
      <w:pPr>
        <w:spacing w:after="0" w:line="130" w:lineRule="exact"/>
        <w:rPr>
          <w:rFonts w:ascii="Arial" w:cs="Arial" w:eastAsia="Arial" w:hAnsi="Arial"/>
          <w:sz w:val="18"/>
          <w:szCs w:val="18"/>
          <w:color w:val="auto"/>
        </w:rPr>
      </w:pPr>
    </w:p>
    <w:p>
      <w:pPr>
        <w:ind w:left="1740" w:right="20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BellRing Brands, LLC will issue the voting membership unit to BellRing Brands, Inc., and BellRing Brands, Inc. will appoint the Board of Managers of BellRing Brands, LLC;</w:t>
      </w:r>
    </w:p>
    <w:p>
      <w:pPr>
        <w:spacing w:after="0" w:line="75" w:lineRule="exact"/>
        <w:rPr>
          <w:rFonts w:ascii="Arial" w:cs="Arial" w:eastAsia="Arial" w:hAnsi="Arial"/>
          <w:sz w:val="18"/>
          <w:szCs w:val="18"/>
          <w:color w:val="auto"/>
        </w:rPr>
      </w:pPr>
    </w:p>
    <w:p>
      <w:pPr>
        <w:ind w:left="1740" w:right="100" w:hanging="408"/>
        <w:spacing w:after="0" w:line="286" w:lineRule="auto"/>
        <w:tabs>
          <w:tab w:leader="none" w:pos="17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BellRing Brands, Inc. will contribute the net proceeds it receives in this offering to BellRing Brands, LLC, in exchange for 34,285,714 BellRing Brands, LLC Units (which is equal to the number of shares of Class A common stock sold in this offering or 39,428,571 BellRing Brands, LLC Units if the underwriters exercise their over-allotment option in full);</w:t>
      </w:r>
    </w:p>
    <w:p>
      <w:pPr>
        <w:spacing w:after="0" w:line="70" w:lineRule="exact"/>
        <w:rPr>
          <w:rFonts w:ascii="Arial" w:cs="Arial" w:eastAsia="Arial" w:hAnsi="Arial"/>
          <w:sz w:val="17"/>
          <w:szCs w:val="17"/>
          <w:color w:val="auto"/>
        </w:rPr>
      </w:pPr>
    </w:p>
    <w:p>
      <w:pPr>
        <w:ind w:left="1740" w:hanging="408"/>
        <w:spacing w:after="0" w:line="259"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BellRing Brands, Inc., BellRing Brands, LLC and/or their respective subsidiaries will enter into (i) the employee matters agreement, (ii) the investor rights agreement, (iii) the tax matters agreement, (iv) the tax receivable agreement and (v) the master services agreement, each as described under “Certain Relationships and Related Party Transactions—Post-Offering Relationship with Post;” and</w:t>
      </w:r>
    </w:p>
    <w:p>
      <w:pPr>
        <w:spacing w:after="0" w:line="92" w:lineRule="exact"/>
        <w:rPr>
          <w:rFonts w:ascii="Arial" w:cs="Arial" w:eastAsia="Arial" w:hAnsi="Arial"/>
          <w:sz w:val="18"/>
          <w:szCs w:val="18"/>
          <w:color w:val="auto"/>
        </w:rPr>
      </w:pPr>
    </w:p>
    <w:p>
      <w:pPr>
        <w:ind w:left="1740" w:right="520" w:hanging="408"/>
        <w:spacing w:after="0" w:line="308" w:lineRule="auto"/>
        <w:tabs>
          <w:tab w:leader="none" w:pos="17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BellRing Brands, LLC will contribute all of the equity interests in Active Nutrition International and Premier Nutrition to Dymatize Enterprises, such that Dymatize Enterprises will be the direct holder of such equity interests.</w:t>
      </w:r>
    </w:p>
    <w:p>
      <w:pPr>
        <w:spacing w:after="0" w:line="147"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color w:val="auto"/>
        </w:rPr>
        <w:t>In this offering, BellRing Brands, Inc. will issue 34,285,714 shares of Class A common stock (or 39,428,571 shares if the underwriters exercise their over-allotment option in full) in exchange for net proceeds of approximately $448.0 million (or approximately $516.4 million if the underwriters exercise their over-allotment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24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04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59042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340"/>
        <w:spacing w:after="0" w:line="264" w:lineRule="auto"/>
        <w:rPr>
          <w:sz w:val="20"/>
          <w:szCs w:val="20"/>
          <w:color w:val="auto"/>
        </w:rPr>
      </w:pPr>
      <w:r>
        <w:rPr>
          <w:rFonts w:ascii="Arial" w:cs="Arial" w:eastAsia="Arial" w:hAnsi="Arial"/>
          <w:sz w:val="18"/>
          <w:szCs w:val="18"/>
          <w:color w:val="auto"/>
        </w:rPr>
        <w:t>option in full), after deducting underwriting discounts and commissions and offering expenses payable by us. In connection with this offering, BellRing Brands, Inc. will use all of the net proceeds from this offering to acquire a number of newly issued BellRing Brands, LLC Units from BellRing Brands, LLC equal to the number of shares of Class A common stock sold in this offering.</w:t>
      </w:r>
    </w:p>
    <w:p>
      <w:pPr>
        <w:spacing w:after="0" w:line="289" w:lineRule="exact"/>
        <w:rPr>
          <w:sz w:val="20"/>
          <w:szCs w:val="20"/>
          <w:color w:val="auto"/>
        </w:rPr>
      </w:pPr>
    </w:p>
    <w:p>
      <w:pPr>
        <w:ind w:left="820" w:right="3780"/>
        <w:spacing w:after="0" w:line="431" w:lineRule="auto"/>
        <w:rPr>
          <w:sz w:val="20"/>
          <w:szCs w:val="20"/>
          <w:color w:val="auto"/>
        </w:rPr>
      </w:pPr>
      <w:r>
        <w:rPr>
          <w:rFonts w:ascii="Arial" w:cs="Arial" w:eastAsia="Arial" w:hAnsi="Arial"/>
          <w:sz w:val="16"/>
          <w:szCs w:val="16"/>
          <w:b w:val="1"/>
          <w:bCs w:val="1"/>
          <w:i w:val="1"/>
          <w:iCs w:val="1"/>
          <w:color w:val="auto"/>
        </w:rPr>
        <w:t xml:space="preserve">Organizational Structure Following Formation Transactions and Offering </w:t>
      </w:r>
      <w:r>
        <w:rPr>
          <w:rFonts w:ascii="Arial" w:cs="Arial" w:eastAsia="Arial" w:hAnsi="Arial"/>
          <w:sz w:val="16"/>
          <w:szCs w:val="16"/>
          <w:color w:val="auto"/>
        </w:rPr>
        <w:t>Immediately following the consummation of the formation transactions and this offering:</w:t>
      </w:r>
    </w:p>
    <w:p>
      <w:pPr>
        <w:spacing w:after="0" w:line="1" w:lineRule="exact"/>
        <w:rPr>
          <w:sz w:val="20"/>
          <w:szCs w:val="20"/>
          <w:color w:val="auto"/>
        </w:rPr>
      </w:pPr>
    </w:p>
    <w:p>
      <w:pPr>
        <w:ind w:left="1320" w:hanging="51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entities comprising Post’s Active Nutrition business will be direct or indirect subsidiaries of BellRing Brands, LLC.</w:t>
      </w:r>
    </w:p>
    <w:p>
      <w:pPr>
        <w:spacing w:after="0" w:line="130" w:lineRule="exact"/>
        <w:rPr>
          <w:rFonts w:ascii="Arial" w:cs="Arial" w:eastAsia="Arial" w:hAnsi="Arial"/>
          <w:sz w:val="18"/>
          <w:szCs w:val="18"/>
          <w:color w:val="auto"/>
        </w:rPr>
      </w:pPr>
    </w:p>
    <w:p>
      <w:pPr>
        <w:ind w:left="1320" w:right="480" w:hanging="515"/>
        <w:spacing w:after="0" w:line="264"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Inc. will be a holding company, will have no material assets other than BellRing Brands, Inc.’s ownership of BellRing Brands, LLC Units and its indirect interests in the subsidiaries of BellRing Brands, LLC and will have no independent means of generating revenue or cash flow.</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320" w:right="80" w:hanging="515"/>
        <w:spacing w:after="0" w:line="302"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BellRing Brands, LLC will be treated as a partnership for U.S. federal income tax purposes immediately after BellRing Brands, Inc.’s purchase of BellRing Brands, LLC Units in connection with this offering and, as such, will not itself generally be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59" w:lineRule="exact"/>
        <w:rPr>
          <w:rFonts w:ascii="Arial" w:cs="Arial" w:eastAsia="Arial" w:hAnsi="Arial"/>
          <w:sz w:val="16"/>
          <w:szCs w:val="16"/>
          <w:color w:val="auto"/>
        </w:rPr>
      </w:pPr>
    </w:p>
    <w:p>
      <w:pPr>
        <w:ind w:left="1320" w:hanging="515"/>
        <w:spacing w:after="0" w:line="287" w:lineRule="auto"/>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Post will hold 97,474,180 BellRing Brands, LLC Units, equal to 74.0% of the economic interest in BellRing Brands, LLC (or 71.2% if the underwriters exercise their over-allotment option in full) and one share of BellRing Brands, Inc. Class B common stock, which, for so long as Post or its affiliates (other than us) directly own more than 50% of the BellRing Brands, LLC Units, will represent 67% of the combined voting power of the common stock of BellRing Brands, Inc. as described in this prospectus. Subject to the terms of the amended and restated limited liability company agreement, Post may redeem BellRing Brands, LLC Units for, at BellRing Brands, LLC’s option (as determined by its Board of Managers), (i) shares of BellRing Brands, Inc. Class A common stock or (ii) cash (based on the market price of the shares of BellRing Brands, Inc.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The share of BellRing Brands, Inc. Class B common stock will be initially owned by Post and cannot be transferred except to affiliates of Post (other than us). We do not intend to list our Class B common stock on any stock exchange. See “Certain Relationships and Related Party Transactions—Post-Offering Relationship with Post—Amended and Restated Limited Liability Company Agreement.”</w:t>
      </w:r>
    </w:p>
    <w:p>
      <w:pPr>
        <w:spacing w:after="0" w:line="74" w:lineRule="exact"/>
        <w:rPr>
          <w:rFonts w:ascii="Arial" w:cs="Arial" w:eastAsia="Arial" w:hAnsi="Arial"/>
          <w:sz w:val="16"/>
          <w:szCs w:val="16"/>
          <w:color w:val="auto"/>
        </w:rPr>
      </w:pPr>
    </w:p>
    <w:p>
      <w:pPr>
        <w:ind w:left="1320" w:right="100" w:hanging="515"/>
        <w:spacing w:after="0" w:line="255"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purchasers in this offering (i) will own 34,285,714 shares of our Class A common stock (or 39,428,571 shares if the underwriters exercise their over-allotment option in full), which, for so long as Post or its affiliates (other than us) directly own more than 50% of the BellRing Brands, LLC Units, will represent 33% of the combined voting power of our common stock and 100% of the economic interest in BellRing Brands, Inc., and (ii) through BellRing Brands, Inc.’s ownership of BellRing Brands, LLC Units, indirectly will hold 26.0% of the economic interest in BellRing Brands, LLC (or 28.8% if the underwriters exercise their over-allotment option in full).</w:t>
      </w:r>
    </w:p>
    <w:p>
      <w:pPr>
        <w:spacing w:after="0" w:line="98" w:lineRule="exact"/>
        <w:rPr>
          <w:rFonts w:ascii="Arial" w:cs="Arial" w:eastAsia="Arial" w:hAnsi="Arial"/>
          <w:sz w:val="18"/>
          <w:szCs w:val="18"/>
          <w:color w:val="auto"/>
        </w:rPr>
      </w:pPr>
    </w:p>
    <w:p>
      <w:pPr>
        <w:ind w:left="1320" w:right="160" w:hanging="515"/>
        <w:spacing w:after="0" w:line="264"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 BellRing Brands, Inc. and the number of BellRing Brands, LLC Units owned by BellRing Brands,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362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2145" cy="2362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40" w:right="40"/>
        <w:spacing w:after="0" w:line="277" w:lineRule="auto"/>
        <w:rPr>
          <w:sz w:val="20"/>
          <w:szCs w:val="20"/>
          <w:color w:val="auto"/>
        </w:rPr>
      </w:pPr>
      <w:r>
        <w:rPr>
          <w:rFonts w:ascii="Arial" w:cs="Arial" w:eastAsia="Arial" w:hAnsi="Arial"/>
          <w:sz w:val="18"/>
          <w:szCs w:val="18"/>
          <w:color w:val="auto"/>
        </w:rPr>
        <w:t>See “Certain Relationships and Related Party Transactions—Post-Offering Relationship with Post—Amended and Restated Limited Liability Company Agreement.”</w:t>
      </w:r>
    </w:p>
    <w:p>
      <w:pPr>
        <w:spacing w:after="0" w:line="76" w:lineRule="exact"/>
        <w:rPr>
          <w:sz w:val="20"/>
          <w:szCs w:val="20"/>
          <w:color w:val="auto"/>
        </w:rPr>
      </w:pPr>
    </w:p>
    <w:p>
      <w:pPr>
        <w:ind w:left="1320" w:hanging="515"/>
        <w:spacing w:after="0" w:line="253"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appoint and remove the members of the Board of Managers of, and no economic interest in, BellRing Brands, LLC). BellRing Brands, Inc. will appoint the members of the BellRing Brands, LLC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the Class B common stock of BellRing Brands, Inc.</w:t>
      </w:r>
    </w:p>
    <w:p>
      <w:pPr>
        <w:spacing w:after="0" w:line="102" w:lineRule="exact"/>
        <w:rPr>
          <w:rFonts w:ascii="Arial" w:cs="Arial" w:eastAsia="Arial" w:hAnsi="Arial"/>
          <w:sz w:val="18"/>
          <w:szCs w:val="18"/>
          <w:color w:val="auto"/>
        </w:rPr>
      </w:pPr>
    </w:p>
    <w:p>
      <w:pPr>
        <w:jc w:val="both"/>
        <w:ind w:left="1320" w:right="60" w:hanging="515"/>
        <w:spacing w:after="0" w:line="286" w:lineRule="auto"/>
        <w:tabs>
          <w:tab w:leader="none" w:pos="1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a portion of the consolidated net income (loss) will be allocated to the noncontrolling interest to reflect the entitlement of Post to a portion of the consolidated net income (loss). See “Unaudited Pro Forma Condensed Consolidated Financial Information.”</w:t>
      </w:r>
    </w:p>
    <w:p>
      <w:pPr>
        <w:spacing w:after="0" w:line="200" w:lineRule="exact"/>
        <w:rPr>
          <w:sz w:val="20"/>
          <w:szCs w:val="20"/>
          <w:color w:val="auto"/>
        </w:rPr>
      </w:pPr>
    </w:p>
    <w:p>
      <w:pPr>
        <w:spacing w:after="0" w:line="39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240" w:top="459" w:right="7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036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2145" cy="7036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following diagram shows our corporate structure immediately after completion of the formation transactions, this offering and the expected borrowings under the debt facilities described under “—Debt Financing Arrangements—Debt Facilities” and the application of the net proceeds of the offering and the debt facilities for the purposes described under “Use of Proceeds” (assuming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Financing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Unrestricted Subsidiary Designation</w:t>
      </w:r>
    </w:p>
    <w:p>
      <w:pPr>
        <w:spacing w:after="0" w:line="117" w:lineRule="exact"/>
        <w:rPr>
          <w:sz w:val="20"/>
          <w:szCs w:val="20"/>
          <w:color w:val="auto"/>
        </w:rPr>
      </w:pPr>
    </w:p>
    <w:p>
      <w:pPr>
        <w:ind w:left="380" w:right="300" w:firstLine="426"/>
        <w:spacing w:after="0" w:line="259" w:lineRule="auto"/>
        <w:rPr>
          <w:sz w:val="20"/>
          <w:szCs w:val="20"/>
          <w:color w:val="auto"/>
        </w:rPr>
      </w:pPr>
      <w:r>
        <w:rPr>
          <w:rFonts w:ascii="Arial" w:cs="Arial" w:eastAsia="Arial" w:hAnsi="Arial"/>
          <w:sz w:val="18"/>
          <w:szCs w:val="18"/>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24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20"/>
        <w:spacing w:after="0" w:line="286" w:lineRule="auto"/>
        <w:rPr>
          <w:sz w:val="20"/>
          <w:szCs w:val="20"/>
          <w:color w:val="auto"/>
        </w:rPr>
      </w:pPr>
      <w:r>
        <w:rPr>
          <w:rFonts w:ascii="Arial" w:cs="Arial" w:eastAsia="Arial" w:hAnsi="Arial"/>
          <w:sz w:val="17"/>
          <w:szCs w:val="17"/>
          <w:color w:val="auto"/>
        </w:rPr>
        <w:t>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7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Post Bridge Loan</w:t>
      </w:r>
    </w:p>
    <w:p>
      <w:pPr>
        <w:spacing w:after="0" w:line="117" w:lineRule="exact"/>
        <w:rPr>
          <w:sz w:val="20"/>
          <w:szCs w:val="20"/>
          <w:color w:val="auto"/>
        </w:rPr>
      </w:pPr>
    </w:p>
    <w:p>
      <w:pPr>
        <w:ind w:left="380" w:right="20" w:firstLine="426"/>
        <w:spacing w:after="0" w:line="270" w:lineRule="auto"/>
        <w:rPr>
          <w:sz w:val="20"/>
          <w:szCs w:val="20"/>
          <w:color w:val="auto"/>
        </w:rPr>
      </w:pPr>
      <w:r>
        <w:rPr>
          <w:rFonts w:ascii="Arial" w:cs="Arial" w:eastAsia="Arial" w:hAnsi="Arial"/>
          <w:sz w:val="17"/>
          <w:szCs w:val="17"/>
          <w:color w:val="auto"/>
        </w:rPr>
        <w:t>Prior to the completion of this offering, Post borrowed $1,225.0 million under an unsecured bridge loan (which we refer to as the “Post bridge loan”) pursuant to a bridge facility agreement that Post and certain of its subsidiaries as guarantors (other than BellRing Brands, Inc., but including BellRing Brands, LLC and its domestic subsidiaries) entered into with various financial institutions, including certain affiliates of the underwriters in this offering. The Post bridge loan will bear interest at a rate per annum equal to (i) for the period from and including October 11, 2019 to but excluding October 21, 2019, the Eurodollar Rate (as such term is defined in the bridge facility agreement) plus 450 basis points, (ii) for the period from and including October 21, 2019 to but excluding October 25, 2019, the Eurodollar Rate plus 500 basis points, (iii) for the period from and including October 25, 2019 to but excluding February 8, 2020, 12.00% and (iv) for the period from and including February 8, 2020 to but excluding the maturity date, 12.25%. Payments of interest on the Post bridge loan are due on October 21, 2019, October 25, 2019, December 31, 2019 and the last day of each quarter thereafter. The Post bridge loan matures on August 23, 2024.</w:t>
      </w:r>
    </w:p>
    <w:p>
      <w:pPr>
        <w:spacing w:after="0" w:line="182" w:lineRule="exact"/>
        <w:rPr>
          <w:sz w:val="20"/>
          <w:szCs w:val="20"/>
          <w:color w:val="auto"/>
        </w:rPr>
      </w:pPr>
    </w:p>
    <w:p>
      <w:pPr>
        <w:ind w:left="380" w:firstLine="426"/>
        <w:spacing w:after="0" w:line="253" w:lineRule="auto"/>
        <w:rPr>
          <w:sz w:val="20"/>
          <w:szCs w:val="20"/>
          <w:color w:val="auto"/>
        </w:rPr>
      </w:pPr>
      <w:r>
        <w:rPr>
          <w:rFonts w:ascii="Arial" w:cs="Arial" w:eastAsia="Arial" w:hAnsi="Arial"/>
          <w:sz w:val="18"/>
          <w:szCs w:val="18"/>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It is expected that the Post bridge loan will be repaid in full with the proceeds of this offering and the net proceeds of BellRing Brands, LLC’s borrowings under the debt facilities described below under “—Debt Facilities.” See “Description of Certain Indebtedness.”</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Debt Facilities</w:t>
      </w:r>
    </w:p>
    <w:p>
      <w:pPr>
        <w:spacing w:after="0" w:line="117" w:lineRule="exact"/>
        <w:rPr>
          <w:sz w:val="20"/>
          <w:szCs w:val="20"/>
          <w:color w:val="auto"/>
        </w:rPr>
      </w:pPr>
    </w:p>
    <w:p>
      <w:pPr>
        <w:ind w:left="380" w:right="20" w:firstLine="426"/>
        <w:spacing w:after="0" w:line="269"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$200.0 million revolving credit facility and an approximately $700.0 million term loan facility (which we refer to collectively as the “debt facilities”),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the full amount available under the term loan facility and $100.0 million under the revolving credit facility, resulting in net proceeds to BellRing Brands, LLC of approximately $2.3 million, after deducting fees and expenses (including original issue discount with respect to the term loan facility), repayment of the remaining portion of the Post bridge loan and related interest and repayment of cash and cash equivalents to Post.</w:t>
      </w:r>
    </w:p>
    <w:p>
      <w:pPr>
        <w:spacing w:after="0" w:line="183" w:lineRule="exact"/>
        <w:rPr>
          <w:sz w:val="20"/>
          <w:szCs w:val="20"/>
          <w:color w:val="auto"/>
        </w:rPr>
      </w:pPr>
    </w:p>
    <w:p>
      <w:pPr>
        <w:ind w:left="380" w:right="820" w:firstLine="426"/>
        <w:spacing w:after="0" w:line="277" w:lineRule="auto"/>
        <w:rPr>
          <w:sz w:val="20"/>
          <w:szCs w:val="20"/>
          <w:color w:val="auto"/>
        </w:rPr>
      </w:pPr>
      <w:r>
        <w:rPr>
          <w:rFonts w:ascii="Arial" w:cs="Arial" w:eastAsia="Arial" w:hAnsi="Arial"/>
          <w:sz w:val="18"/>
          <w:szCs w:val="18"/>
          <w:color w:val="auto"/>
        </w:rPr>
        <w:t>We expect that the revolving credit facility also will be available for working capital and for general corporate purposes (including acquisitions) and that a portion of the revolving credit facility will be available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24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44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77" w:lineRule="auto"/>
        <w:rPr>
          <w:sz w:val="20"/>
          <w:szCs w:val="20"/>
          <w:color w:val="auto"/>
        </w:rPr>
      </w:pPr>
      <w:r>
        <w:rPr>
          <w:rFonts w:ascii="Arial" w:cs="Arial" w:eastAsia="Arial" w:hAnsi="Arial"/>
          <w:sz w:val="18"/>
          <w:szCs w:val="18"/>
          <w:color w:val="auto"/>
        </w:rPr>
        <w:t>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170"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 See “Description of Certain Indebtedness.”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Relationship with Post</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BellRing Brands, Inc. is currently a wholly-owned subsidiary of Post. After the consummation of the formation transactions and this offering, Post will own one share of our Class B common stock and, for so long as Post or its affiliates (other than us) directly own more than 50% of the BellRing Brands, LLC Units as described in this prospectus, will control 67% of the combined voting power of our outstanding common stock. Post will control any action requiring the general approval of our stockholders, including the election of our Board of Directors, the adoption of certain amendments to our amended and restated certificate of incorporation and our amended and restated bylaws and the approval of any merger or sale of substantially all of our assets. We do not currently expect to rely on the “controlled company” exemptions of the NYSE.</w:t>
      </w:r>
    </w:p>
    <w:p>
      <w:pPr>
        <w:spacing w:after="0" w:line="165" w:lineRule="exact"/>
        <w:rPr>
          <w:sz w:val="20"/>
          <w:szCs w:val="20"/>
          <w:color w:val="auto"/>
        </w:rPr>
      </w:pPr>
    </w:p>
    <w:p>
      <w:pPr>
        <w:jc w:val="both"/>
        <w:ind w:left="380" w:right="340" w:firstLine="426"/>
        <w:spacing w:after="0" w:line="264" w:lineRule="auto"/>
        <w:rPr>
          <w:sz w:val="20"/>
          <w:szCs w:val="20"/>
          <w:color w:val="auto"/>
        </w:rPr>
      </w:pPr>
      <w:r>
        <w:rPr>
          <w:rFonts w:ascii="Arial" w:cs="Arial" w:eastAsia="Arial" w:hAnsi="Arial"/>
          <w:sz w:val="18"/>
          <w:szCs w:val="18"/>
          <w:color w:val="auto"/>
        </w:rPr>
        <w:t>Post received the net proceeds of the Post bridge loan, estimated to be approximately $1,221.9 million after deducting fees and expenses, which it expects to use to repay a portion of its existing debt. Neither BellRing Brands, Inc. nor BellRing Brands, LLC will receive any of the proceeds of the Post bridge loan.</w:t>
      </w:r>
    </w:p>
    <w:p>
      <w:pPr>
        <w:spacing w:after="0" w:line="181" w:lineRule="exact"/>
        <w:rPr>
          <w:sz w:val="20"/>
          <w:szCs w:val="20"/>
          <w:color w:val="auto"/>
        </w:rPr>
      </w:pPr>
    </w:p>
    <w:p>
      <w:pPr>
        <w:jc w:val="both"/>
        <w:ind w:left="380" w:right="100" w:firstLine="426"/>
        <w:spacing w:after="0" w:line="291" w:lineRule="auto"/>
        <w:rPr>
          <w:sz w:val="20"/>
          <w:szCs w:val="20"/>
          <w:color w:val="auto"/>
        </w:rPr>
      </w:pPr>
      <w:r>
        <w:rPr>
          <w:rFonts w:ascii="Arial" w:cs="Arial" w:eastAsia="Arial" w:hAnsi="Arial"/>
          <w:sz w:val="16"/>
          <w:szCs w:val="16"/>
          <w:color w:val="auto"/>
        </w:rPr>
        <w:t>On the same date that this offering is completed, Post, BellRing Brands, Inc., BellRing Brands, LLC and/or their respective subsidiaries will enter into (i) the employee matters agreement, (ii) the investor rights agreement, (iii) the tax receivable agreement, (iv) the tax matters agreement,</w:t>
      </w:r>
    </w:p>
    <w:p>
      <w:pPr>
        <w:ind w:left="380" w:right="620" w:firstLine="6"/>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and (vi) the master services agreement, each as described under “Certain Relationships and Related Party Transactions—Post-Offering Relationship with Post.”</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Developments—Preliminary Fourth Quarter Net Sales</w:t>
      </w:r>
    </w:p>
    <w:p>
      <w:pPr>
        <w:spacing w:after="0" w:line="121" w:lineRule="exact"/>
        <w:rPr>
          <w:sz w:val="20"/>
          <w:szCs w:val="20"/>
          <w:color w:val="auto"/>
        </w:rPr>
      </w:pPr>
    </w:p>
    <w:p>
      <w:pPr>
        <w:ind w:left="380" w:right="740" w:firstLine="426"/>
        <w:spacing w:after="0" w:line="277" w:lineRule="auto"/>
        <w:rPr>
          <w:sz w:val="20"/>
          <w:szCs w:val="20"/>
          <w:color w:val="auto"/>
        </w:rPr>
      </w:pPr>
      <w:r>
        <w:rPr>
          <w:rFonts w:ascii="Arial" w:cs="Arial" w:eastAsia="Arial" w:hAnsi="Arial"/>
          <w:sz w:val="18"/>
          <w:szCs w:val="18"/>
          <w:color w:val="auto"/>
        </w:rPr>
        <w:t>Our preliminary estimate of net sales for our fiscal quarter and fiscal year ended September 30, 2019 is between $211.0 million and $217.0 million and between $850.9 million and $856.9 million, respectively.</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Net sales trends for the quarter ended September 30, 2019 are expected to be impacted by the following:</w:t>
      </w:r>
    </w:p>
    <w:p>
      <w:pPr>
        <w:spacing w:after="0" w:line="131" w:lineRule="exact"/>
        <w:rPr>
          <w:sz w:val="20"/>
          <w:szCs w:val="20"/>
          <w:color w:val="auto"/>
        </w:rPr>
      </w:pPr>
    </w:p>
    <w:p>
      <w:pPr>
        <w:ind w:left="1320" w:right="140" w:hanging="515"/>
        <w:spacing w:after="0" w:line="264"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fourth quarter of fiscal 2019 was negatively impacted by approximately $15 million of net sales associated with the request for early delivery of product made by a large customer to support promotional activity in the third quarter of fiscal 2019, as compared to comparable delivery in the fourth quarter of fiscal 2018.</w:t>
      </w:r>
    </w:p>
    <w:p>
      <w:pPr>
        <w:spacing w:after="0" w:line="86" w:lineRule="exact"/>
        <w:rPr>
          <w:rFonts w:ascii="Arial" w:cs="Arial" w:eastAsia="Arial" w:hAnsi="Arial"/>
          <w:sz w:val="18"/>
          <w:szCs w:val="18"/>
          <w:color w:val="auto"/>
        </w:rPr>
      </w:pPr>
    </w:p>
    <w:p>
      <w:pPr>
        <w:ind w:left="1320" w:right="520" w:hanging="515"/>
        <w:spacing w:after="0" w:line="277"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of nutrition bars in North America are estimated to be lower primarily driven by distribution losses and strategic sales reductions of low performing products within our portfolio.</w:t>
      </w:r>
    </w:p>
    <w:p>
      <w:pPr>
        <w:spacing w:after="0" w:line="75" w:lineRule="exact"/>
        <w:rPr>
          <w:rFonts w:ascii="Arial" w:cs="Arial" w:eastAsia="Arial" w:hAnsi="Arial"/>
          <w:sz w:val="18"/>
          <w:szCs w:val="18"/>
          <w:color w:val="auto"/>
        </w:rPr>
      </w:pPr>
    </w:p>
    <w:p>
      <w:pPr>
        <w:ind w:left="1320" w:right="140" w:hanging="515"/>
        <w:spacing w:after="0" w:line="264"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from selling expenses to net sales in the three months ended September 30, 2019, in connection with the adoption of Accounting Standards Update (“ASU”) 2014-09, “Revenue from Contracts with Customers (Topic 606).”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9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2145" cy="6229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 xml:space="preserve">Based on Nielsen Total US xAOC including Convenience data for the 13 week period ended August 24, 2019, dollar consumption of our </w:t>
      </w: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RTD shakes increased 13% compared to the same period a year ago.</w:t>
      </w:r>
    </w:p>
    <w:p>
      <w:pPr>
        <w:spacing w:after="0" w:line="170" w:lineRule="exact"/>
        <w:rPr>
          <w:sz w:val="20"/>
          <w:szCs w:val="20"/>
          <w:color w:val="auto"/>
        </w:rPr>
      </w:pPr>
    </w:p>
    <w:p>
      <w:pPr>
        <w:ind w:left="380" w:right="20" w:firstLine="426"/>
        <w:spacing w:after="0" w:line="270" w:lineRule="auto"/>
        <w:rPr>
          <w:sz w:val="20"/>
          <w:szCs w:val="20"/>
          <w:color w:val="auto"/>
        </w:rPr>
      </w:pPr>
      <w:r>
        <w:rPr>
          <w:rFonts w:ascii="Arial" w:cs="Arial" w:eastAsia="Arial" w:hAnsi="Arial"/>
          <w:sz w:val="17"/>
          <w:szCs w:val="17"/>
          <w:color w:val="auto"/>
        </w:rPr>
        <w:t>We have provided a range for our current preliminary unaudited estimates of net sales because they are subject to the completion of financial closing procedures, final adjustments and other developments that may arise between now and the time the financial results for our fiscal quarter and fiscal year ended September 30, 2019 are finalized. Actual net sales may differ materially from these estimates, and the preliminary estimates are subject to change. While we are currently unaware of any items that would require us to make adjustments to the ranges of net sales set forth above, it is possible that we or our independent registered public accounting firm may identify such items as we complete our financial statements for our fiscal quarter and fiscal year ended September 30, 2019. In addition, the presentation of our preliminary unaudited estimates set forth above is not intended to imply that actual results could not fall outside of the estimated ranges, and our preliminary unaudited estimates of net sales are not necessarily indicative of similar operating results for any future periods. Further, our preliminary unaudited estimates of net sales for our fiscal quarter and fiscal year ended September 30, 2019 have been prepared by our management based only upon information available to them as of the date hereof.</w:t>
      </w:r>
    </w:p>
    <w:p>
      <w:pPr>
        <w:spacing w:after="0" w:line="178" w:lineRule="exact"/>
        <w:rPr>
          <w:sz w:val="20"/>
          <w:szCs w:val="20"/>
          <w:color w:val="auto"/>
        </w:rPr>
      </w:pPr>
    </w:p>
    <w:p>
      <w:pPr>
        <w:ind w:left="380" w:right="320" w:firstLine="426"/>
        <w:spacing w:after="0" w:line="259" w:lineRule="auto"/>
        <w:rPr>
          <w:sz w:val="20"/>
          <w:szCs w:val="20"/>
          <w:color w:val="auto"/>
        </w:rPr>
      </w:pPr>
      <w:r>
        <w:rPr>
          <w:rFonts w:ascii="Arial" w:cs="Arial" w:eastAsia="Arial" w:hAnsi="Arial"/>
          <w:sz w:val="18"/>
          <w:szCs w:val="18"/>
          <w:color w:val="auto"/>
        </w:rPr>
        <w:t>The preliminary financial data included in this registration statement has been prepared by, and is the responsibility of, BellRing Brands, Inc.’s management. PricewaterhouseCoopers LLP has not audited, reviewed, compiled or applied agreed-upon procedures with respect to the preliminary financial data. Accordingly, PricewaterhouseCoopers LLP does not express an opinion or any other form of assurance with respect thereto.</w:t>
      </w:r>
    </w:p>
    <w:p>
      <w:pPr>
        <w:spacing w:after="0" w:line="79"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Accordingly, undue reliance should not be placed on the preliminary estimates set forth above. The preliminary estimates set forth above should be read together with “Risk Factors,” “Cautionary Statement Regarding Forward-Looking Statements,” “Selected Financial Data,” “Management’s Discussion and Analysis of Financial Condition and Results of Operations” and our financial statements and related notes included elsewhere in this prospectus.</w:t>
      </w: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380" w:right="460" w:firstLine="426"/>
        <w:spacing w:after="0" w:line="264"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We will continue to be an emerging growth company until the earliest to occur of:</w:t>
      </w:r>
    </w:p>
    <w:p>
      <w:pPr>
        <w:spacing w:after="0" w:line="87" w:lineRule="exact"/>
        <w:rPr>
          <w:sz w:val="20"/>
          <w:szCs w:val="20"/>
          <w:color w:val="auto"/>
        </w:rPr>
      </w:pPr>
    </w:p>
    <w:p>
      <w:pPr>
        <w:ind w:left="1320" w:hanging="51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320" w:right="20" w:hanging="515"/>
        <w:spacing w:after="0" w:line="312" w:lineRule="auto"/>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(the “Exchange Act”), which would occur if the market value of our common stock that is held by non-affiliates exceeds $700.0 million as of the prior March 31 and we have been publicly reporting for at least 12 months; or</w:t>
      </w:r>
    </w:p>
    <w:p>
      <w:pPr>
        <w:spacing w:after="0" w:line="52" w:lineRule="exact"/>
        <w:rPr>
          <w:rFonts w:ascii="Arial" w:cs="Arial" w:eastAsia="Arial" w:hAnsi="Arial"/>
          <w:sz w:val="16"/>
          <w:szCs w:val="16"/>
          <w:color w:val="auto"/>
        </w:rPr>
      </w:pPr>
    </w:p>
    <w:p>
      <w:pPr>
        <w:ind w:left="1320" w:hanging="51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jc w:val="both"/>
        <w:ind w:left="380" w:right="60" w:firstLine="426"/>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320" w:hanging="51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19</w:t>
      </w:r>
    </w:p>
    <w:p>
      <w:pPr>
        <w:sectPr>
          <w:pgSz w:w="11900" w:h="16838" w:orient="portrait"/>
          <w:cols w:equalWidth="0" w:num="1">
            <w:col w:w="11000"/>
          </w:cols>
          <w:pgMar w:left="240" w:top="459" w:right="6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34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4634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480" w:hanging="515"/>
        <w:spacing w:after="0" w:line="277"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w:t>
      </w:r>
    </w:p>
    <w:p>
      <w:pPr>
        <w:spacing w:after="0" w:line="75" w:lineRule="exact"/>
        <w:rPr>
          <w:rFonts w:ascii="Arial" w:cs="Arial" w:eastAsia="Arial" w:hAnsi="Arial"/>
          <w:sz w:val="18"/>
          <w:szCs w:val="18"/>
          <w:color w:val="auto"/>
        </w:rPr>
      </w:pPr>
    </w:p>
    <w:p>
      <w:pPr>
        <w:ind w:left="1320" w:right="240" w:hanging="515"/>
        <w:spacing w:after="0" w:line="277"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 (the “Sarbanes-Oxley Act”);</w:t>
      </w:r>
    </w:p>
    <w:p>
      <w:pPr>
        <w:spacing w:after="0" w:line="75" w:lineRule="exact"/>
        <w:rPr>
          <w:rFonts w:ascii="Arial" w:cs="Arial" w:eastAsia="Arial" w:hAnsi="Arial"/>
          <w:sz w:val="18"/>
          <w:szCs w:val="18"/>
          <w:color w:val="auto"/>
        </w:rPr>
      </w:pPr>
    </w:p>
    <w:p>
      <w:pPr>
        <w:ind w:left="1320" w:right="60" w:hanging="515"/>
        <w:spacing w:after="0" w:line="264"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320" w:right="40" w:hanging="515"/>
        <w:spacing w:after="0" w:line="277"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380" w:right="160" w:firstLine="426"/>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87"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39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BellRing Brands, Inc. was incorporated in the State of Delaware on March 20, 2019 for the purpose of completing this offering and to date has engaged only in activities in contemplation of this offering. BellRing Brands, Inc.’s principal executive offices are at 2503 S. Hanley Road, St. Louis, Missouri 63144, and its telephone number is (314) 644-7600. BellRing Brands, Inc.’s website is www.bellring.com. The information and other content contained on BellRing Brands, Inc.’s website are not part of (or incorporated by reference in) this prospectus. You should not rely on any information contained or included on BellRing Brands, Inc.’s website in making your decision whether to purchase our Class A common stock.</w:t>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638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Issuer</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offered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Class A common stock to be outstanding after this offering</w:t>
      </w: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Class B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BellRing Brands, Inc.</w:t>
      </w:r>
    </w:p>
    <w:p>
      <w:pPr>
        <w:spacing w:after="0" w:line="77" w:lineRule="exact"/>
        <w:rPr>
          <w:sz w:val="20"/>
          <w:szCs w:val="20"/>
          <w:color w:val="auto"/>
        </w:rPr>
      </w:pPr>
    </w:p>
    <w:p>
      <w:pPr>
        <w:ind w:left="1080" w:right="60" w:hanging="179"/>
        <w:spacing w:after="0" w:line="259" w:lineRule="auto"/>
        <w:rPr>
          <w:sz w:val="20"/>
          <w:szCs w:val="20"/>
          <w:color w:val="auto"/>
        </w:rPr>
      </w:pPr>
      <w:r>
        <w:rPr>
          <w:rFonts w:ascii="Arial" w:cs="Arial" w:eastAsia="Arial" w:hAnsi="Arial"/>
          <w:sz w:val="18"/>
          <w:szCs w:val="18"/>
          <w:color w:val="auto"/>
        </w:rPr>
        <w:t>34,285,714 shares (or 39,428,571 shares if the underwriters exercise their over-allotment option in full). Each share of our Class A common stock will be eligible for dividends and distributions upon liquidation.</w:t>
      </w:r>
    </w:p>
    <w:p>
      <w:pPr>
        <w:spacing w:after="0" w:line="254" w:lineRule="exact"/>
        <w:rPr>
          <w:sz w:val="20"/>
          <w:szCs w:val="20"/>
          <w:color w:val="auto"/>
        </w:rPr>
      </w:pPr>
    </w:p>
    <w:p>
      <w:pPr>
        <w:ind w:left="1080" w:right="160" w:hanging="179"/>
        <w:spacing w:after="0" w:line="277" w:lineRule="auto"/>
        <w:rPr>
          <w:sz w:val="20"/>
          <w:szCs w:val="20"/>
          <w:color w:val="auto"/>
        </w:rPr>
      </w:pPr>
      <w:r>
        <w:rPr>
          <w:rFonts w:ascii="Arial" w:cs="Arial" w:eastAsia="Arial" w:hAnsi="Arial"/>
          <w:sz w:val="18"/>
          <w:szCs w:val="18"/>
          <w:color w:val="auto"/>
        </w:rPr>
        <w:t>34,285,714 shares (or 39,428,571 shares if the underwriters exercise their over-allotment option in full).</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have granted to the underwriters an option to purchase up</w:t>
      </w:r>
    </w:p>
    <w:p>
      <w:pPr>
        <w:spacing w:after="0" w:line="23" w:lineRule="exact"/>
        <w:rPr>
          <w:sz w:val="20"/>
          <w:szCs w:val="20"/>
          <w:color w:val="auto"/>
        </w:rPr>
      </w:pPr>
    </w:p>
    <w:p>
      <w:pPr>
        <w:jc w:val="both"/>
        <w:ind w:left="1080" w:right="160"/>
        <w:spacing w:after="0" w:line="273" w:lineRule="auto"/>
        <w:rPr>
          <w:sz w:val="20"/>
          <w:szCs w:val="20"/>
          <w:color w:val="auto"/>
        </w:rPr>
      </w:pPr>
      <w:r>
        <w:rPr>
          <w:rFonts w:ascii="Arial" w:cs="Arial" w:eastAsia="Arial" w:hAnsi="Arial"/>
          <w:sz w:val="17"/>
          <w:szCs w:val="17"/>
          <w:color w:val="auto"/>
        </w:rPr>
        <w:t>to 5,142,857 additional shares of our Class A common stock from us at the initial public offering price (less underwriting discounts and commissions) to cover over-allotments, if any, for a period of thirty days from the date of this prospectus.</w:t>
      </w:r>
    </w:p>
    <w:p>
      <w:pPr>
        <w:spacing w:after="0" w:line="244" w:lineRule="exact"/>
        <w:rPr>
          <w:sz w:val="20"/>
          <w:szCs w:val="20"/>
          <w:color w:val="auto"/>
        </w:rPr>
      </w:pPr>
    </w:p>
    <w:p>
      <w:pPr>
        <w:ind w:left="1080" w:right="360" w:hanging="179"/>
        <w:spacing w:after="0" w:line="311" w:lineRule="auto"/>
        <w:rPr>
          <w:sz w:val="20"/>
          <w:szCs w:val="20"/>
          <w:color w:val="auto"/>
        </w:rPr>
      </w:pPr>
      <w:r>
        <w:rPr>
          <w:rFonts w:ascii="Arial" w:cs="Arial" w:eastAsia="Arial" w:hAnsi="Arial"/>
          <w:sz w:val="16"/>
          <w:szCs w:val="16"/>
          <w:color w:val="auto"/>
        </w:rPr>
        <w:t>One share, which will be issued to Post. The share of our Class B common stock will have no economic rights and cannot be transferred by Post except to its affiliates (other than us).</w:t>
      </w:r>
    </w:p>
    <w:p>
      <w:pPr>
        <w:spacing w:after="0" w:line="1" w:lineRule="exact"/>
        <w:rPr>
          <w:sz w:val="20"/>
          <w:szCs w:val="20"/>
          <w:color w:val="auto"/>
        </w:rPr>
      </w:pPr>
    </w:p>
    <w:p>
      <w:pPr>
        <w:ind w:left="1080" w:hanging="179"/>
        <w:spacing w:after="0" w:line="285" w:lineRule="auto"/>
        <w:rPr>
          <w:sz w:val="20"/>
          <w:szCs w:val="20"/>
          <w:color w:val="auto"/>
        </w:rPr>
      </w:pPr>
      <w:r>
        <w:rPr>
          <w:rFonts w:ascii="Arial" w:cs="Arial" w:eastAsia="Arial" w:hAnsi="Arial"/>
          <w:sz w:val="16"/>
          <w:szCs w:val="16"/>
          <w:color w:val="auto"/>
        </w:rPr>
        <w:t>One vote per share for Class A common stock; Class A common stock and Class B common stock vote together as a single class on all matters submitted to a vote of stockholders. See “Description of Capital Stock.”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w:t>
      </w:r>
    </w:p>
    <w:p>
      <w:pPr>
        <w:spacing w:after="0" w:line="200" w:lineRule="exact"/>
        <w:rPr>
          <w:sz w:val="20"/>
          <w:szCs w:val="20"/>
          <w:color w:val="auto"/>
        </w:rPr>
      </w:pPr>
    </w:p>
    <w:p>
      <w:pPr>
        <w:sectPr>
          <w:pgSz w:w="11900" w:h="16838" w:orient="portrait"/>
          <w:cols w:equalWidth="0" w:num="2">
            <w:col w:w="4640" w:space="380"/>
            <w:col w:w="5980"/>
          </w:cols>
          <w:pgMar w:left="240" w:top="459" w:right="65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00"/>
          </w:cols>
          <w:pgMar w:left="240" w:top="459" w:right="6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800" w:type="dxa"/>
            <w:vAlign w:val="bottom"/>
            <w:tcBorders>
              <w:top w:val="single" w:sz="8" w:color="auto"/>
              <w:left w:val="single" w:sz="8" w:color="auto"/>
            </w:tcBorders>
          </w:tcPr>
          <w:p>
            <w:pPr>
              <w:spacing w:after="0"/>
              <w:rPr>
                <w:sz w:val="24"/>
                <w:szCs w:val="24"/>
                <w:color w:val="auto"/>
              </w:rPr>
            </w:pPr>
          </w:p>
        </w:tc>
        <w:tc>
          <w:tcPr>
            <w:tcW w:w="624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w w:val="99"/>
              </w:rPr>
              <w:t>Units held by Post and its affiliates (other than us), and (ii) in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event that any BellRing Brands, LLC Units are held by persons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other than us or Post and its affiliates, then Post, or its applicable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affiliate, as the holder of the share of our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will cast the remainder of the votes to which the share of our Class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B common stock is entitled only in accordance with instructions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and directions from such other holders of the BellRing Brands, LLC</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Units in accordance with proxies granted by Post to, or voting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agreements or other voting arrangements entered into by Post with,</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such other holders pursuant to the amended and restated limited</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liability company agreement.</w:t>
            </w:r>
          </w:p>
        </w:tc>
        <w:tc>
          <w:tcPr>
            <w:tcW w:w="0" w:type="dxa"/>
            <w:vAlign w:val="bottom"/>
          </w:tcPr>
          <w:p>
            <w:pPr>
              <w:spacing w:after="0"/>
              <w:rPr>
                <w:sz w:val="1"/>
                <w:szCs w:val="1"/>
                <w:color w:val="auto"/>
              </w:rPr>
            </w:pPr>
          </w:p>
        </w:tc>
      </w:tr>
      <w:tr>
        <w:trPr>
          <w:trHeight w:val="284"/>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Rights of the BellRing Brands, LLC Units</w:t>
            </w:r>
          </w:p>
        </w:tc>
        <w:tc>
          <w:tcPr>
            <w:tcW w:w="6240" w:type="dxa"/>
            <w:vAlign w:val="bottom"/>
            <w:tcBorders>
              <w:right w:val="single" w:sz="8" w:color="auto"/>
            </w:tcBorders>
            <w:vMerge w:val="restart"/>
          </w:tcPr>
          <w:p>
            <w:pPr>
              <w:ind w:left="920"/>
              <w:spacing w:after="0"/>
              <w:rPr>
                <w:sz w:val="20"/>
                <w:szCs w:val="20"/>
                <w:color w:val="auto"/>
              </w:rPr>
            </w:pPr>
            <w:r>
              <w:rPr>
                <w:rFonts w:ascii="Arial" w:cs="Arial" w:eastAsia="Arial" w:hAnsi="Arial"/>
                <w:sz w:val="18"/>
                <w:szCs w:val="18"/>
                <w:color w:val="auto"/>
              </w:rPr>
              <w:t>Subject to the terms of the amended and restated limited liability</w:t>
            </w:r>
          </w:p>
        </w:tc>
        <w:tc>
          <w:tcPr>
            <w:tcW w:w="0" w:type="dxa"/>
            <w:vAlign w:val="bottom"/>
          </w:tcPr>
          <w:p>
            <w:pPr>
              <w:spacing w:after="0"/>
              <w:rPr>
                <w:sz w:val="1"/>
                <w:szCs w:val="1"/>
                <w:color w:val="auto"/>
              </w:rPr>
            </w:pPr>
          </w:p>
        </w:tc>
      </w:tr>
      <w:tr>
        <w:trPr>
          <w:trHeight w:val="202"/>
        </w:trPr>
        <w:tc>
          <w:tcPr>
            <w:tcW w:w="48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company agreement, BellRing Brands, LLC Units may be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redeemed at any time for, at BellRing Brands, LLC’s option (as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determined by its Board of Managers), (i) shares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common stock or (ii) cash (based on the market price of the shares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of our Class A common stock). The redemption of BellRing Brands,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LLC Units for shares of Class A common stock will be at an initial</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redemption rate of one share of Class A common stock for one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BellRing Brands, LLC Unit, subject to customary redemption rate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adjustments for stock splits, stock dividends and reclassifications.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Our Class A common stock will trade on the NYSE under the trading</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symbol “BRBR”.</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Controlled company</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As a result of Post’s ownership of our share of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following this offering, Post will beneficially own more than 50%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of the combined voting power of our outstanding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and we will be a “controlled company” within the meaning of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NYSE corporate governance standards; however, we do not</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currently expect to rely on the “controlled company” exemptions.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The net proceeds from the sale of our Class A common stock in this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offering, after deducting the underwriting discount and expenses of</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this offering, will be approximately $448.0 million (or $516.4</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million if the underwriters exercise their over-allotment option in</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full).</w:t>
            </w:r>
          </w:p>
        </w:tc>
        <w:tc>
          <w:tcPr>
            <w:tcW w:w="0" w:type="dxa"/>
            <w:vAlign w:val="bottom"/>
          </w:tcPr>
          <w:p>
            <w:pPr>
              <w:spacing w:after="0"/>
              <w:rPr>
                <w:sz w:val="1"/>
                <w:szCs w:val="1"/>
                <w:color w:val="auto"/>
              </w:rPr>
            </w:pPr>
          </w:p>
        </w:tc>
      </w:tr>
      <w:tr>
        <w:trPr>
          <w:trHeight w:val="240"/>
        </w:trPr>
        <w:tc>
          <w:tcPr>
            <w:tcW w:w="4800" w:type="dxa"/>
            <w:vAlign w:val="bottom"/>
            <w:tcBorders>
              <w:left w:val="single" w:sz="8" w:color="auto"/>
              <w:bottom w:val="single" w:sz="8" w:color="auto"/>
            </w:tcBorders>
          </w:tcPr>
          <w:p>
            <w:pPr>
              <w:spacing w:after="0"/>
              <w:rPr>
                <w:sz w:val="20"/>
                <w:szCs w:val="20"/>
                <w:color w:val="auto"/>
              </w:rPr>
            </w:pPr>
          </w:p>
        </w:tc>
        <w:tc>
          <w:tcPr>
            <w:tcW w:w="6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00" w:type="dxa"/>
            <w:vAlign w:val="bottom"/>
          </w:tcPr>
          <w:p>
            <w:pPr>
              <w:spacing w:after="0"/>
              <w:rPr>
                <w:sz w:val="24"/>
                <w:szCs w:val="24"/>
                <w:color w:val="auto"/>
              </w:rPr>
            </w:pPr>
          </w:p>
        </w:tc>
        <w:tc>
          <w:tcPr>
            <w:tcW w:w="6240" w:type="dxa"/>
            <w:vAlign w:val="bottom"/>
          </w:tcPr>
          <w:p>
            <w:pPr>
              <w:ind w:left="6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75"/>
        </w:trPr>
        <w:tc>
          <w:tcPr>
            <w:tcW w:w="352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7"/>
              </w:rPr>
              <w:t>BellRing Brands, Inc. will contribute the net proceeds of this offering</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to BellRing Brands, LLC in exchange for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Units as described under “Prospectus Summary—Formation</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Transactions.” BellRing Brands, LLC, in turn, will use the net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proceeds of this offering that it receives from BellRing Brands, Inc.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to repay a portion of the Post bridge loan and related interest.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Immediately after the completion of the formation transactions and</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the completion of this offering, BellRing Brands, LLC expects to</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4"/>
              </w:rPr>
              <w:t>enter into the debt facilities and use the proceeds of such borrowing</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under the term loan facility and the revolving credit facility (i) to</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repay the remaining balance of the Post bridge loan and all interest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thereunder, (ii) to pay directly, or reimburse Post for, as applicable,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all fees and expenses incurred by us or Post in connection with this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offering and the formation transactions (including the debt facilities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9"/>
              </w:rPr>
              <w:t>but excluding the Post bridge loan), (iii) to reimburse Post for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amount of cash on our balance sheet immediately prior to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completion of this offering, and (iv) to the extent there are any</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remaining proceeds, for general corporate purposes, including, for</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8"/>
              </w:rPr>
              <w:t>example, to redeem for cash any BellRing Brands, LLC Units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Post may elect in the future to redeem. Post has advised us that it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may determine to redeem a portion of its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Units in the event the proceeds of this offering together with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proceeds of the borrowings under the debt facilities as described in</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this prospectus result in net proceeds to BellRing Brands, LLC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exceed the amount of funds required to satisfy the uses described</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under clauses (i) through (iii) above. See “Use of Proceeds” and</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“Description of Certain Indebtedness—Debt Facilities.”</w:t>
            </w:r>
          </w:p>
        </w:tc>
      </w:tr>
      <w:tr>
        <w:trPr>
          <w:trHeight w:val="283"/>
        </w:trPr>
        <w:tc>
          <w:tcPr>
            <w:tcW w:w="35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Conflicts of Interest</w:t>
            </w:r>
          </w:p>
        </w:tc>
        <w:tc>
          <w:tcPr>
            <w:tcW w:w="752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rPr>
              <w:t>Affiliates of Morgan Stanley &amp; Co. LLC, Citigroup Global Markets</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Inc., J.P. Morgan Securities LLC, Goldman Sachs &amp; Co.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5"/>
              </w:rPr>
              <w:t>BofA Securities, Inc. and Credit Suisse Securities (USA) LLC, each</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of which is an underwriter in this offering, are lenders under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Post bridge loan. The proceeds received by BellRing Brands, LLC</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7"/>
              </w:rPr>
              <w:t>from its sale of BellRing Brands, LLC Units will be used to repay a</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w w:val="96"/>
              </w:rPr>
              <w:t>portion of the Post bridge loan and related interest. Because of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manner in which the proceeds will be used, this offering will be</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conducted in accordance with</w:t>
            </w:r>
          </w:p>
        </w:tc>
      </w:tr>
      <w:tr>
        <w:trPr>
          <w:trHeight w:val="240"/>
        </w:trPr>
        <w:tc>
          <w:tcPr>
            <w:tcW w:w="3520" w:type="dxa"/>
            <w:vAlign w:val="bottom"/>
            <w:tcBorders>
              <w:left w:val="single" w:sz="8" w:color="auto"/>
              <w:bottom w:val="single" w:sz="8" w:color="auto"/>
            </w:tcBorders>
          </w:tcPr>
          <w:p>
            <w:pPr>
              <w:spacing w:after="0"/>
              <w:rPr>
                <w:sz w:val="20"/>
                <w:szCs w:val="20"/>
                <w:color w:val="auto"/>
              </w:rPr>
            </w:pPr>
          </w:p>
        </w:tc>
        <w:tc>
          <w:tcPr>
            <w:tcW w:w="7520" w:type="dxa"/>
            <w:vAlign w:val="bottom"/>
            <w:tcBorders>
              <w:bottom w:val="single" w:sz="8" w:color="auto"/>
              <w:right w:val="single" w:sz="8" w:color="auto"/>
            </w:tcBorders>
          </w:tcPr>
          <w:p>
            <w:pPr>
              <w:spacing w:after="0"/>
              <w:rPr>
                <w:sz w:val="20"/>
                <w:szCs w:val="20"/>
                <w:color w:val="auto"/>
              </w:rPr>
            </w:pPr>
          </w:p>
        </w:tc>
      </w:tr>
      <w:tr>
        <w:trPr>
          <w:trHeight w:val="604"/>
        </w:trPr>
        <w:tc>
          <w:tcPr>
            <w:tcW w:w="3520" w:type="dxa"/>
            <w:vAlign w:val="bottom"/>
          </w:tcPr>
          <w:p>
            <w:pPr>
              <w:spacing w:after="0"/>
              <w:rPr>
                <w:sz w:val="24"/>
                <w:szCs w:val="24"/>
                <w:color w:val="auto"/>
              </w:rPr>
            </w:pPr>
          </w:p>
        </w:tc>
        <w:tc>
          <w:tcPr>
            <w:tcW w:w="7520" w:type="dxa"/>
            <w:vAlign w:val="bottom"/>
          </w:tcPr>
          <w:p>
            <w:pPr>
              <w:ind w:left="19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8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color w:val="auto"/>
              </w:rPr>
              <w:t>Financial Industry Regulatory Authority, Inc., or FINRA, Rule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5121. This rule requires, among other things, that a qualified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independent underwriter has participated in the preparation of,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has exercised the usual standards of ‘‘due diligence’’ with respect</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to, this prospectus and the registration statement of which this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prospectus forms a part. Barclays Capital Inc. has agreed to act as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qualified independent underwriter for the offering and to undertake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the legal responsibilities and liabilities of an underwriter under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Securities Act, specifically including those inherent in Section 11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the Securities Act. We will agree to indemnify Barclays Capital Inc.</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against liabilities incurred in connection with acting as qualified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independent underwriter, including liabilities under the Securities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Act. Moreover, none of Morgan Stanley &amp; Co. LLC, Citigroup</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Global Markets Inc., J.P. Morgan Securities LLC, Goldman Sachs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&amp; Co. LLC, BofA Securities, Inc. and Credit Suisse Securities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(USA) LLC, is permitted to sell Class A common stock in this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offering to an account over which it exercises discretionary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authority without the prior specific written approval of the account</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holder. See “Underwriting (Conflicts of Interest).”</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Policy</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4"/>
              </w:rPr>
              <w:t>We do not intend to pay dividends on our Class A common stock or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cause BellRing Brands, LLC to make distributions to its members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3"/>
              </w:rPr>
              <w:t>(other than to make certain distributions as described under “Certain</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Relationships and Related Party Transactions—Post-Offering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Relationship with Post—Amended and Restated Limited Liability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Company Agreement”). We anticipate that we will retain all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available funds and any future earnings to support our operations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and to finance the growth and development of our business. Any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4"/>
              </w:rPr>
              <w:t>future determination to pay dividends on our Class A common stock</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will be made by our Board of Directors.</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 Receivable Agreement</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We intend to enter into a tax receivable agreement with Post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BellRing Brands, LLC that will provide for the payment by us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Post (or certain of its transferees or other assignees) of 85% of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amount of cash savings, if any, in U.S. federal income tax, as well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as state and local income tax and franchise tax (using an assumed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tax rate on a base equal to the U.S. federal taxable income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BellRing Brands, Inc.), that we actually realize (or, in some</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circumstances, we are deemed to realize)</w:t>
            </w:r>
          </w:p>
        </w:tc>
      </w:tr>
      <w:tr>
        <w:trPr>
          <w:trHeight w:val="240"/>
        </w:trPr>
        <w:tc>
          <w:tcPr>
            <w:tcW w:w="3780" w:type="dxa"/>
            <w:vAlign w:val="bottom"/>
            <w:tcBorders>
              <w:left w:val="single" w:sz="8" w:color="auto"/>
              <w:bottom w:val="single" w:sz="8" w:color="auto"/>
            </w:tcBorders>
          </w:tcPr>
          <w:p>
            <w:pPr>
              <w:spacing w:after="0"/>
              <w:rPr>
                <w:sz w:val="20"/>
                <w:szCs w:val="20"/>
                <w:color w:val="auto"/>
              </w:rPr>
            </w:pPr>
          </w:p>
        </w:tc>
        <w:tc>
          <w:tcPr>
            <w:tcW w:w="7260" w:type="dxa"/>
            <w:vAlign w:val="bottom"/>
            <w:tcBorders>
              <w:bottom w:val="single" w:sz="8" w:color="auto"/>
              <w:right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60" w:type="dxa"/>
            <w:vAlign w:val="bottom"/>
          </w:tcPr>
          <w:p>
            <w:pPr>
              <w:ind w:left="16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2145" cy="42233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as a result of (a) the increase in the tax basis of assets of BellRing</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Brands, LLC attributable to (i) the redemption of BellRing Brands,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LLC Units by Post (or certain of its transferees or assignees)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pursuant to the amended and restated limited liability company</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agreement, (ii) deemed sales by Post (or certain of its transferees or</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assignees) of BellRing Brands, LLC Units or assets to BellRing</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Brands, Inc., (iii) certain actual or deemed distributions from</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BellRing Brands, LLC to Post (or certain of its transferees or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assignees) and (iv) certain formation transactions,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 disproportionate allocations of tax benefits to BellRing Brands,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Inc. as a result of Section 704(c) of the Internal Revenue Code of</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1986, as amended (the “Code”) and (c) certain tax benefits (e.g.,</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basis adjustments, deductions, etc.) attributable to payments under</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the tax receivable agreement. See “Certain Relationships and</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Related Party Transactions—Post-Offering Relationship with Post</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—Tax Receivable Agreement.”</w:t>
      </w:r>
    </w:p>
    <w:p>
      <w:pPr>
        <w:spacing w:after="0" w:line="211"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Unless otherwise noted, references in this prospectus to the number of shares of our common stock outstanding after this offering exclude shares of our Class A common stock that may be granted under the BellRing Brands, Inc. 2019 Long-Term Incentive Plan (the “2019 LTIP”), which was adopted prior to this offering. We have reserved 2,000,000 shares of our Class A common stock for issuance under the 2019 LTIP. See “Executive Compensation—BellRing Brands, Inc. 2019 Long-Term Incentive Plan” for additional information regarding our equity incentive plan.</w:t>
      </w:r>
    </w:p>
    <w:p>
      <w:pPr>
        <w:spacing w:after="0" w:line="154"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Unless otherwise indicated, the information contained in this prospectus is as of the date set forth on the cover page of this prospectus and assumes:</w:t>
      </w:r>
    </w:p>
    <w:p>
      <w:pPr>
        <w:spacing w:after="0" w:line="76" w:lineRule="exact"/>
        <w:rPr>
          <w:sz w:val="20"/>
          <w:szCs w:val="20"/>
          <w:color w:val="auto"/>
        </w:rPr>
      </w:pPr>
    </w:p>
    <w:p>
      <w:pPr>
        <w:ind w:left="1320" w:hanging="515"/>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completion of the formation transactions as described elsewhere in this prospectus;</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BellRing Brands, LLC has entered into debt facilities on the terms described in this prospectus; and</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that the underwriters’ over-allotment option to purchase from us additional shares of Class A common stock is not exercised.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SUMMARY HISTORICAL CONDENSED COMBINED FINANCIAL AND OTHER INFORMATION</w:t>
      </w:r>
    </w:p>
    <w:p>
      <w:pPr>
        <w:spacing w:after="0" w:line="229" w:lineRule="exact"/>
        <w:rPr>
          <w:sz w:val="20"/>
          <w:szCs w:val="20"/>
          <w:color w:val="auto"/>
        </w:rPr>
      </w:pPr>
    </w:p>
    <w:p>
      <w:pPr>
        <w:ind w:left="380" w:right="60" w:firstLine="426"/>
        <w:spacing w:after="0" w:line="253" w:lineRule="auto"/>
        <w:rPr>
          <w:sz w:val="20"/>
          <w:szCs w:val="20"/>
          <w:color w:val="auto"/>
        </w:rPr>
      </w:pPr>
      <w:r>
        <w:rPr>
          <w:rFonts w:ascii="Arial" w:cs="Arial" w:eastAsia="Arial" w:hAnsi="Arial"/>
          <w:sz w:val="18"/>
          <w:szCs w:val="18"/>
          <w:color w:val="auto"/>
        </w:rPr>
        <w:t>The following tables set forth certain summary historical condensed combined financial data for Post’s Active Nutrition business as of September 30, 2018 and 2017 and for each of the fiscal years in the three-year period ended September 30, 2018, and as of June 30, 2019 and for the nine months ended June 30, 2019 and 2018. Post’s Active Nutrition business is the predecessor of BellRing Brands, Inc. for financial reporting purposes. The summary historical financial data set forth below should be read in conjunction with: (i) the sections entitled “Use of Proceeds,” “Capitalization” and “Unaudited Pro Forma Condensed Consolidated Financial Information,” (ii) Post’s Active Nutrition business’s audited combined financial statements and the notes thereto as of and for the three fiscal years ended September 30, 2018, (iii) Post’s Active Nutrition business’s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9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The summary historical condensed combined financial data as of September 30, 2018 and 2017 and as of each of the fiscal years in the three-year period ended September 30, 2018 have been derived from the audited combined financial statements of Post’s Active Nutrition business. The summary unaudited historical condensed combined financial data as of June 30, 2019 and for the nine months ended June 30, 2019 and 2018 have been derived from Post’s Active Nutrition business’s unaudited condensed combined financial statements, and include, in the opinion of management, all adjustments, consisting of only normal, recurring adjustments, necessary for a fair statement of such information. The financial data presented for the interim periods are not necessarily indicative of the results for the full fiscal year.</w:t>
      </w:r>
    </w:p>
    <w:p>
      <w:pPr>
        <w:spacing w:after="0" w:line="178"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The summary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240" w:top="459" w:right="6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981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02145" cy="53981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5"/>
              </w:rPr>
              <w:t>Active Nutrition</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5"/>
          </w:tcPr>
          <w:p>
            <w:pPr>
              <w:jc w:val="center"/>
              <w:ind w:right="150"/>
              <w:spacing w:after="0" w:line="119" w:lineRule="exact"/>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left="254"/>
              <w:spacing w:after="0" w:line="14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639.9</w:t>
            </w:r>
          </w:p>
        </w:tc>
        <w:tc>
          <w:tcPr>
            <w:tcW w:w="70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$ 607.6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827.5</w:t>
            </w:r>
          </w:p>
        </w:tc>
        <w:tc>
          <w:tcPr>
            <w:tcW w:w="1040" w:type="dxa"/>
            <w:vAlign w:val="bottom"/>
            <w:gridSpan w:val="6"/>
          </w:tcPr>
          <w:p>
            <w:pPr>
              <w:jc w:val="right"/>
              <w:ind w:right="300"/>
              <w:spacing w:after="0"/>
              <w:rPr>
                <w:sz w:val="20"/>
                <w:szCs w:val="20"/>
                <w:color w:val="auto"/>
              </w:rPr>
            </w:pPr>
            <w:r>
              <w:rPr>
                <w:rFonts w:ascii="Arial" w:cs="Arial" w:eastAsia="Arial" w:hAnsi="Arial"/>
                <w:sz w:val="18"/>
                <w:szCs w:val="18"/>
                <w:color w:val="auto"/>
              </w:rPr>
              <w:t>$713.2</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$574.7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403.6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549.8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467.4</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235.1</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277.7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245.8</w:t>
            </w:r>
          </w:p>
        </w:tc>
        <w:tc>
          <w:tcPr>
            <w:tcW w:w="3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131.0</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65.6</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96.1</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Cash Flows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141.2</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(84.0)</w:t>
            </w:r>
          </w:p>
        </w:tc>
        <w:tc>
          <w:tcPr>
            <w:tcW w:w="60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51.7</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20"/>
                <w:szCs w:val="20"/>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112.5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156.5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118.5</w:t>
            </w:r>
          </w:p>
        </w:tc>
        <w:tc>
          <w:tcPr>
            <w:tcW w:w="1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72.0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7"/>
              </w:rPr>
              <w:t>Active Nutrition</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6"/>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3"/>
            <w:vMerge w:val="restart"/>
          </w:tcPr>
          <w:p>
            <w:pPr>
              <w:jc w:val="center"/>
              <w:ind w:right="91"/>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(unaudited)</w:t>
            </w:r>
          </w:p>
        </w:tc>
        <w:tc>
          <w:tcPr>
            <w:tcW w:w="6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3.4</w:t>
            </w:r>
          </w:p>
        </w:tc>
        <w:tc>
          <w:tcPr>
            <w:tcW w:w="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597.6</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560.4</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583.2</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parent company equity</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491.0</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451.7</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484.4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60" w:hanging="414"/>
        <w:spacing w:after="0" w:line="277"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24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all of the other information in this prospectus, including Post’s Active Nutrition business’s combined financial statements and the accompanying notes, before deciding whether to purchase shares of our Class A common stock. The occurrence of any of the risks described below could materially and adversely affect our business, financial condition, results of operations and cash flows. As a result, the market price of our Class A common stock could decline, and you could lose all or a part of your investment. Some statements in this prospectus, including statements in the following risk factors, constitute forward-looking statements. Please refer to “Cautionary Statement Regarding Forward-Looking Statements” for more information regarding forward-looking statements.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 substantial amount of our net sales is derived from our RTD protein shakes. Sales of our RTD protein shakes represented approximately 71% of our net sales in fiscal 2018.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287"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6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 party contract manufacturers. For the last twelve months ended June 30, 2019, approximately 84%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supplier and approximately 57%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we have added additional contract manufacturers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are currently in a dispute</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color w:val="auto"/>
        </w:rPr>
        <w:t>with one of our former third party contract manufacturers, which we had expected to produce less than 10% of our RTD protein shakes for fiscal year 2019, that has resulted in our termination of our agreement with them and related litigation.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193"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a combination of better than expected volume growth for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shakes in the second half of fiscal 2018 and delays in planned incremental production capacity by our third party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 See “Management’s Discussion and Analysis of Financial Condition and Results of Operations.” If we need to replace an existing third party contract manufacturer, our products may not be available when required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convenient nutrition category, which we believe includes the everyday nutrition, adult nutrition, sports nutrition and weight management consumer need states, is highly competitive. We compete with other brands in the convenient nutrition category and with many nutritional food and beverage players, as well as manufacturers of private label products.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19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 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 sole supplier for the aseptic packaging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18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29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188"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 xml:space="preserve">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the last twelve months ended June 30, 2019, approximately 84%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 supply came from our largest contract manufacturer, Stremick’s Heritage Foods, LLC, from its three manufacturing facilities located in Riverside and Santa Ana, California and Joplin, Missouri, with approximately 57% of such supply manufactured at the Joplin, Missouri facility. In 2011, a major tornado struck Joplin, Missouri, but our supply of product from the Joplin, Missouri facility was not impacted. In addition, production</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of the RTD protein shakes in the 11 ounce size by our third party contract manufacturers requires packaging that we currently are sourcing from only one supplier, and equipment that our third party contract manufacturers are currently sourcing from the same supplier. Our supply of packaging for our 11 ounce RTD protein shakes from this supplier comes primarily from its locations in Mexicali, Baja California, Mexico and Denton, Texas. Competitors can be affected differently by weather conditions and natural disasters depending on the location of their suppliers and operations.</w:t>
      </w:r>
    </w:p>
    <w:p>
      <w:pPr>
        <w:spacing w:after="0" w:line="154"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Failure to take adequate steps to reduce the likelihood or mitigate the potential impact of such events, or to effectively manage such events if they occur, particularly when an ingredient or packaging material is sourced from a single location or supplier, could adversely affect our business, financial condition, results of operations and cash flows and/or require additional resources to restore our supply chain.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Consolidation in our distribution channels, and competitive, economic and other pressures facing our customers, may hurt our profit margins.</w:t>
      </w:r>
    </w:p>
    <w:p>
      <w:pPr>
        <w:spacing w:after="0" w:line="15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must identify changing consumer and customer preferences and develop and offer products to meet these preferences.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or effectively introduce new products in response, to such changes could negatively impact our business, financial condition, results of operations and cash flows.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 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17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sales and profit growth are dependent upon our ability to expand existing market penetration and enter into new markets.</w:t>
      </w:r>
    </w:p>
    <w:p>
      <w:pPr>
        <w:spacing w:after="0" w:line="1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rapid emergence of new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266"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62"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 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and/or a loss of consumer confidence could have an adverse effect on our business, financial condition, results of operations and cash flows.</w:t>
      </w:r>
    </w:p>
    <w:p>
      <w:pPr>
        <w:spacing w:after="0" w:line="288"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convenient nutrition category in which we operate is subject to a variety of federal, state and foreign laws and regulations, including requirements related to food safety, quality, manufacturing, processing, storage, marketing, advertising, labeling and 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Food and Drug Administration (the “FDA”), the U.S. Department of Agriculture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Officers and Trading Standards Officers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18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289"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27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Our recent growth has placed, and we expect that our continued growth may place, a significant demand on our management, personnel, systems and resources. Given our largely outsourced manufacturing model, as of September 1, 2019, we had approximately 380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286" w:lineRule="exact"/>
        <w:rPr>
          <w:sz w:val="20"/>
          <w:szCs w:val="20"/>
          <w:color w:val="auto"/>
        </w:rPr>
      </w:pPr>
    </w:p>
    <w:p>
      <w:pPr>
        <w:ind w:left="640" w:right="900"/>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17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With respect to acquisitions, we may not be able to identify suitable candidates, consummate a transaction on terms that are favorable to us or achieve expected returns and other benefits as a result of integration challenges.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17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280"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This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business. These risks include:</w:t>
      </w:r>
    </w:p>
    <w:p>
      <w:pPr>
        <w:spacing w:after="0" w:line="76" w:lineRule="exact"/>
        <w:rPr>
          <w:sz w:val="20"/>
          <w:szCs w:val="20"/>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uncertainty and volatility;</w:t>
      </w:r>
    </w:p>
    <w:p>
      <w:pPr>
        <w:spacing w:after="0" w:line="130" w:lineRule="exact"/>
        <w:rPr>
          <w:rFonts w:ascii="Arial" w:cs="Arial" w:eastAsia="Arial" w:hAnsi="Arial"/>
          <w:sz w:val="18"/>
          <w:szCs w:val="18"/>
          <w:color w:val="auto"/>
        </w:rPr>
      </w:pPr>
    </w:p>
    <w:p>
      <w:pPr>
        <w:ind w:left="1180" w:right="120" w:hanging="544"/>
        <w:spacing w:after="0" w:line="264"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difficulty and costs of designing and implementing an effective control environment across diverse regions and employee bases;</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Our principal exposure is to the Euro.</w:t>
      </w:r>
    </w:p>
    <w:p>
      <w:pPr>
        <w:spacing w:after="0" w:line="279"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 limited number of customer accounts represents a large percentage of our combined net sales. Our largest customers, Costco and Walmart and its affiliates (which includes Sam’s Club), accounted for approximately 71% of our net sales in fiscal 2018.</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success of our business depends, in part, on our ability to maintain our level of sales and product distribution through the club, FDM, eCommerce, convenience and specialty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Pending and future litigation may impair our reputation or lead us to incur significant costs.</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281" w:lineRule="exact"/>
        <w:rPr>
          <w:sz w:val="20"/>
          <w:szCs w:val="20"/>
          <w:color w:val="auto"/>
        </w:rPr>
      </w:pPr>
    </w:p>
    <w:p>
      <w:pPr>
        <w:ind w:left="640" w:right="140"/>
        <w:spacing w:after="0" w:line="375" w:lineRule="auto"/>
        <w:rPr>
          <w:sz w:val="20"/>
          <w:szCs w:val="20"/>
          <w:color w:val="auto"/>
        </w:rPr>
      </w:pPr>
      <w:r>
        <w:rPr>
          <w:rFonts w:ascii="Arial" w:cs="Arial" w:eastAsia="Arial" w:hAnsi="Arial"/>
          <w:sz w:val="15"/>
          <w:szCs w:val="15"/>
          <w:b w:val="1"/>
          <w:bCs w:val="1"/>
          <w:i w:val="1"/>
          <w:iCs w:val="1"/>
          <w:color w:val="auto"/>
        </w:rPr>
        <w:t>Changes in tax laws may adversely affect us, and the Internal Revenue Service or a court may disagree with tax positions taken by BellRing Brands, Inc. or BellRing Brands, LLC, which may result in adverse effects on our financial condition or the value of our common stock.</w:t>
      </w:r>
    </w:p>
    <w:p>
      <w:pPr>
        <w:spacing w:after="0" w:line="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and the foreign tax credit, among others. 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in which case tax penalties and interest may be imposed that could adversely our financial position and affect the value of our stock.</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market size and related estimates and social media metrics may prove to be inaccurate.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data from Nielsen and Euromonitor, forecasts and information obtained from 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 In addition, the metrics related to visitors to our brand websites and to our presence on third party social media sites contain certain limitations, and investors should not place undue reliance on such metrics given such limitations and the fact that they do not bear any relationship to our financial condition or results of operations.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Agricultural diseases or pests could harm our business, financial condition, results of operations and cash flows.</w:t>
      </w:r>
    </w:p>
    <w:p>
      <w:pPr>
        <w:spacing w:after="0" w:line="117" w:lineRule="exact"/>
        <w:rPr>
          <w:sz w:val="20"/>
          <w:szCs w:val="20"/>
          <w:color w:val="auto"/>
        </w:rPr>
      </w:pPr>
    </w:p>
    <w:p>
      <w:pPr>
        <w:jc w:val="both"/>
        <w:ind w:left="200" w:right="180" w:firstLine="441"/>
        <w:spacing w:after="0" w:line="297" w:lineRule="auto"/>
        <w:rPr>
          <w:sz w:val="20"/>
          <w:szCs w:val="20"/>
          <w:color w:val="auto"/>
        </w:rPr>
      </w:pPr>
      <w:r>
        <w:rPr>
          <w:rFonts w:ascii="Arial" w:cs="Arial" w:eastAsia="Arial" w:hAnsi="Arial"/>
          <w:sz w:val="16"/>
          <w:szCs w:val="16"/>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26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With approximately 380 employees as of September 1, 2019, our profitability may be substantially affected by costs of medical and other health and welfare benefits for these employees. Although we try to control these costs, they can vary because of changes in healthcare laws and experience, which have the potential to increase the cost of providing medical and other employee health and welfare benefits. Any substantial increase could negatively affect our profitability.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281" w:lineRule="exact"/>
        <w:rPr>
          <w:sz w:val="20"/>
          <w:szCs w:val="20"/>
          <w:color w:val="auto"/>
        </w:rPr>
      </w:pPr>
    </w:p>
    <w:p>
      <w:pPr>
        <w:ind w:left="640" w:right="760"/>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 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Changing currency exchange rates may adversely affect our business, financial condition, results of operations and cash flows.</w:t>
      </w:r>
    </w:p>
    <w:p>
      <w:pPr>
        <w:spacing w:after="0" w:line="1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operations and assets in the U.S. as well as foreign jurisdictions, and a portion of our contracts and revenues are denominated in foreign currencies. The financial statements of Post’s Active Nutrition business included in this prospectus are, and the financial statements we will prepare going forward will be,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and brands.</w:t>
      </w:r>
    </w:p>
    <w:p>
      <w:pPr>
        <w:spacing w:after="0" w:line="1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275"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Furthermore, a significant portion of the communications between our personnel, customers and suppliers depends on information technology. Some of our information technology needs are outsourced to third parties.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19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 Such cyberattacks and cyber incidents can take many forms, including cyber extortion, denial of service, social engineering, such as impersonation attempts to fraudulently induce employees or others to disclose information or unwittingly provide access to systems or data, introduction of viruses or malware, such as ransomware through phishing emails, website defacement or theft of passwords and other credentials.</w:t>
      </w:r>
    </w:p>
    <w:p>
      <w:pPr>
        <w:spacing w:after="0" w:line="183"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also are subject to an evolving body of federal, state and foreign laws, regulations, guidelines and principles regarding data privacy, data protection and data security. A data breach or inability on our part to comply with such laws, regulations, guidelines and principles, or to quickly adapt our practices to reflect them as they develop, could potentially subject us to significant liabilities and reputational harm. Several foreign governments, including the E.U., have laws and regulations dealing with the collection and use of personal information obtained from their data subjects, and we could incur substantial penalties or litigation related to violations of such laws and regulations. In addition, our efforts to comply with such laws and regulations may impose significant costs and challenges on us.</w:t>
      </w:r>
    </w:p>
    <w:p>
      <w:pPr>
        <w:spacing w:after="0" w:line="287" w:lineRule="exact"/>
        <w:rPr>
          <w:sz w:val="20"/>
          <w:szCs w:val="20"/>
          <w:color w:val="auto"/>
        </w:rPr>
      </w:pPr>
    </w:p>
    <w:p>
      <w:pPr>
        <w:ind w:left="640"/>
        <w:spacing w:after="0" w:line="375" w:lineRule="auto"/>
        <w:rPr>
          <w:sz w:val="20"/>
          <w:szCs w:val="20"/>
          <w:color w:val="auto"/>
        </w:rPr>
      </w:pPr>
      <w:r>
        <w:rPr>
          <w:rFonts w:ascii="Arial" w:cs="Arial" w:eastAsia="Arial" w:hAnsi="Arial"/>
          <w:sz w:val="15"/>
          <w:szCs w:val="15"/>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our Dymatize reporting unit. We could have additional impairments in the future. See further discussion of this impairment in “Management’s Discussion and Analysis of Financial Condition and Results of Operations” and Note 5 within the “Notes to Combined Financial Statements” contained in this prospectus.</w:t>
      </w:r>
    </w:p>
    <w:p>
      <w:pPr>
        <w:spacing w:after="0" w:line="286"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62" w:lineRule="exact"/>
        <w:rPr>
          <w:sz w:val="20"/>
          <w:szCs w:val="20"/>
          <w:color w:val="auto"/>
        </w:rPr>
      </w:pPr>
    </w:p>
    <w:p>
      <w:pPr>
        <w:jc w:val="both"/>
        <w:ind w:left="200" w:right="660" w:firstLine="441"/>
        <w:spacing w:after="0" w:line="286" w:lineRule="auto"/>
        <w:rPr>
          <w:sz w:val="20"/>
          <w:szCs w:val="20"/>
          <w:color w:val="auto"/>
        </w:rPr>
      </w:pPr>
      <w:r>
        <w:rPr>
          <w:rFonts w:ascii="Arial" w:cs="Arial" w:eastAsia="Arial" w:hAnsi="Arial"/>
          <w:sz w:val="17"/>
          <w:szCs w:val="17"/>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w:t>
      </w:r>
    </w:p>
    <w:p>
      <w:pPr>
        <w:spacing w:after="0" w:line="166"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124"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and operations.</w:t>
      </w:r>
    </w:p>
    <w:p>
      <w:pPr>
        <w:spacing w:after="0" w:line="1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will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On the same day this offering is completed, BellRing Brands, LLC will become the borrower under the Post bridge loan and the subsidiaries of BellRing Brands, LLC will continue to guarantee the obligations under the Post bridge loan. Immediately after the completion of the formation transactions and the completion of this offering, BellRing Brands, LLC expects to enter into the debt facilities described under “Description of Certain Indebtedness”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If the Board of Managers decides not to do so, or if such debt facilities are otherwise not available to us, then we will remain obligated under the Post bridge loan, the terms of which we expect will be less advantageous to us than those contemplated under any new debt facilities. BellRing Brands, LLC also may incur additional debt in the future, for example, in connection with acquisitions or other strategic transactions.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31" w:lineRule="exact"/>
        <w:rPr>
          <w:sz w:val="20"/>
          <w:szCs w:val="20"/>
          <w:color w:val="auto"/>
        </w:rPr>
      </w:pPr>
    </w:p>
    <w:p>
      <w:pPr>
        <w:ind w:left="1180" w:right="14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30"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75"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95"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b w:val="1"/>
          <w:bCs w:val="1"/>
          <w:i w:val="1"/>
          <w:iCs w:val="1"/>
          <w:color w:val="auto"/>
        </w:rPr>
        <w:t>Despite our anticipated level of indebtedness, we may be able to incur substantially more debt, which could further exacerbate the risks described above, and we may in any event be required to maintain a minimum level of indebtedness.</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be able to incur significant additional indebtedness in the future. Although the financing arrangements governing our indebtedness may contain restrictions on our ability to incur additional indebtedness, these restrictions may be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 As long as Post or its affiliates (other than us) owns more than 50% of the BellRing Brands, LLC Units as described in this prospectus, it will be able to control nearly all corporate actions that require a vote of the stockholders of BellRing Brands, Inc., as well as have the right under the investor rights agreement to designate a majority of the directors of BellRing Brands, Inc. In order to preserve its intended tax treatment in connection with the formation transactions, we expect that, so long as Post has the ability to control us, Post will require that BellRing Brands, LLC maintain a minimum level of outstanding indebtedness equal to $800.0 million less the amount of undistributed taxable income of BellRing Brands, LLC and its subsidiaries allocable to Post following the consummation of the formation transactions.</w:t>
      </w:r>
    </w:p>
    <w:p>
      <w:pPr>
        <w:spacing w:after="0" w:line="286" w:lineRule="exact"/>
        <w:rPr>
          <w:sz w:val="20"/>
          <w:szCs w:val="20"/>
          <w:color w:val="auto"/>
        </w:rPr>
      </w:pPr>
    </w:p>
    <w:p>
      <w:pPr>
        <w:ind w:left="640" w:right="340"/>
        <w:spacing w:after="0" w:line="342" w:lineRule="auto"/>
        <w:rPr>
          <w:sz w:val="20"/>
          <w:szCs w:val="20"/>
          <w:color w:val="auto"/>
        </w:rPr>
      </w:pPr>
      <w:r>
        <w:rPr>
          <w:rFonts w:ascii="Arial" w:cs="Arial" w:eastAsia="Arial" w:hAnsi="Arial"/>
          <w:sz w:val="16"/>
          <w:szCs w:val="16"/>
          <w:b w:val="1"/>
          <w:bCs w:val="1"/>
          <w:i w:val="1"/>
          <w:iCs w:val="1"/>
          <w:color w:val="auto"/>
        </w:rPr>
        <w:t>The agreements governing our debt may contain various covenants that limit our ability to take certain actions and also require us to meet financial maintenance tests, and failure to comply with these covenants could have a material adverse effect on us.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financing arrangements may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83" w:lineRule="exact"/>
        <w:rPr>
          <w:sz w:val="20"/>
          <w:szCs w:val="20"/>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225"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295"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BellRing Brands, LLC’s ability to pay principal and interest on its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BellRing Brands, LLC is unable to make payments or we are unable to refinance the debt or obtain new financing under these circumstances, we may consider other options, including:</w:t>
      </w:r>
    </w:p>
    <w:p>
      <w:pPr>
        <w:spacing w:after="0" w:line="76"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equity;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 controls our Company and will have the ability to control the direction of our business.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After the completion of this offering, Post will own the share of our Class B common stock, which, for so long as Post or its affiliates (other than us) directly own more than 50% of the BellRing Brands, LLC Units as described in this prospectus, will represent 67% of the total voting power of both classes of our common stock outstanding after this offering.</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long as Post or its affiliates (other than us) owns more than 50% of the BellRing Brands, LLC Units as described in this prospectus, it will be able to control nearly all corporate actions that require a stockholder vote, regardless of the vote of any other stockholder. As a result, Post will have the ability to control significant matters involving us, including:</w:t>
      </w:r>
    </w:p>
    <w:p>
      <w:pPr>
        <w:spacing w:after="0" w:line="87" w:lineRule="exact"/>
        <w:rPr>
          <w:sz w:val="20"/>
          <w:szCs w:val="20"/>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determinations with respect to mergers, business combinations, dispositions of assets or other extraordinary corporate transactions;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30" w:lineRule="exact"/>
        <w:rPr>
          <w:rFonts w:ascii="Arial" w:cs="Arial" w:eastAsia="Arial" w:hAnsi="Arial"/>
          <w:sz w:val="18"/>
          <w:szCs w:val="18"/>
          <w:color w:val="auto"/>
        </w:rPr>
      </w:pPr>
    </w:p>
    <w:p>
      <w:pPr>
        <w:ind w:left="1180" w:right="60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of our common stock available for issuance under our equity incentive plans for our prospective and existing employees;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Brands, LLC Units as described in this prospectus, Post will have the ability to substantially influence these matters for as long as it owns a significant portion of the voting power.</w:t>
      </w:r>
    </w:p>
    <w:p>
      <w:pPr>
        <w:spacing w:after="0" w:line="17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your investment to decline.</w:t>
      </w:r>
    </w:p>
    <w:p>
      <w:pPr>
        <w:spacing w:after="0" w:line="273" w:lineRule="exact"/>
        <w:rPr>
          <w:sz w:val="20"/>
          <w:szCs w:val="20"/>
          <w:color w:val="auto"/>
        </w:rPr>
      </w:pPr>
    </w:p>
    <w:p>
      <w:pPr>
        <w:ind w:left="640" w:right="260"/>
        <w:spacing w:after="0" w:line="308" w:lineRule="auto"/>
        <w:rPr>
          <w:sz w:val="20"/>
          <w:szCs w:val="20"/>
          <w:color w:val="auto"/>
        </w:rPr>
      </w:pPr>
      <w:r>
        <w:rPr>
          <w:rFonts w:ascii="Arial" w:cs="Arial" w:eastAsia="Arial" w:hAnsi="Arial"/>
          <w:sz w:val="17"/>
          <w:szCs w:val="17"/>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3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180-day lock-up period, Post, if it has redeemed BellRing Brands, LLC Units for shares of our Class A common stock, generally has the right at any time to sell or otherwise dispose of the shares of our Class A common stock that it owns, including the ability to transfer a controlling interest in us to a third party, without your approval and without providing for a purchase of your shares of Class A common stock. Post and its affiliates may also directly transfer their BellRing Brands, LLC Units to third parties without the consent or approval of the Board of Managers of BellRing Brands,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in the event that Post or its applicable affiliate, as the holder of the share of our Class B common stock, holds in the aggregate 50% or less of the BellRing Brands, LLC Units as described in this prospectus.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spin-off to its shareholders. See “Shares Eligible for Future Sale.”</w:t>
      </w:r>
    </w:p>
    <w:p>
      <w:pPr>
        <w:spacing w:after="0" w:line="16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Potential conflicts of interest or disputes may arise between Post and us in a number of areas relating to our past or ongoing relationships, including:</w:t>
      </w:r>
    </w:p>
    <w:p>
      <w:pPr>
        <w:spacing w:after="0" w:line="76"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Brands, LLC;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The various ancillary agreements that we intend to enter into with Post will be of varying durations and may be amended upon agreement of the parties. See “Certain Relationships and Related Party Transactions—Post-Offering Relationship with Post.” The terms of these agreements will be primarily determined by Post, and, therefore, may not be representative of the terms we could obtain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266"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amended and restated certificate of incorporation will include certain provisions regulating and defining the conduct of our affairs to the extent that they may involve Post and its directors, officers, employees, agents and affiliates (except that we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279"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 retained interest in BellRing Brands, LLC. While Post has advised us that it does not have any definitive plans to 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will have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agreements with Post will require us to indemnify Post for certain tax liabilities.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this offering, BellRing Brands, Inc. and BellRing Brands, LLC will enter into a tax matters agreement with Post. 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any consolidated, 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 For a more complete description of the tax matters agreement, see “Certain Relationships and Related Party Transactions—Post-Offering Relationship with Post—Tax Matters Agreement.”</w:t>
      </w:r>
    </w:p>
    <w:p>
      <w:pPr>
        <w:spacing w:after="0" w:line="291"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Post and BellRing Brands, LLC will require us to make cash payments to Post for certain tax benefits we may realize in the future, and these payments could be substantial.</w:t>
      </w:r>
    </w:p>
    <w:p>
      <w:pPr>
        <w:spacing w:after="0" w:line="6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Post (or certain of its transferees or assignees) may redeem BellRing Brands, LLC Units for, at the option of BellRing Brands, LLC (as determined by its Board of Managers), shares of our Class A common stock or cash pursuant to the amended and restated limited liability company agreement. See “Certain Relationships and Related Party Transactions—Post-Offering Relationship with Post—Amended and Restated Limited Liability Company Agreement.” These redemptions, certain formation transactions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pre-existing, contributed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173"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Upon the closing of this offering, we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Payments under the tax receivable agreement are not conditioned on Post’s continued ownership of BellRing Brands, LLC Units or our Class A common stock or Class B common stock after this offering. The payment obligation is a payment obligation of ours and not of BellRing Brands, LLC.</w:t>
      </w:r>
    </w:p>
    <w:p>
      <w:pPr>
        <w:spacing w:after="0" w:line="17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Post has advised us that, except under the circumstances described under “Use of Proceeds,” it has no definitive plans to exit its interests in BellRing Brands, Inc. or BellRing Brands, LLC, and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Post (or its transferees or assignees) may nevertheless determine to engage in redemptions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Brands, LLC at the time of the redemption, the extent to which such redemptions are taxable, the tax rates then applicable and the amount and timing of our income.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will not be reimbursed for any payments made to Post under the tax receivable agreement in the event that any tax benefits are disallowed.</w:t>
      </w:r>
    </w:p>
    <w:p>
      <w:pPr>
        <w:spacing w:after="0" w:line="15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29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Such obligations under the tax receivable agreement, however, would not arise if Post distributes its beneficial retained interest in BellRing Brands, LLC by means of a spin-off to its shareholders. As a result of the foregoing, we would be required to make an immediate cash payment equal to the estimated present value as outlined in the 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For an illustration of the amount, based upon certain assumptions, that would be payable by BellRing Brands, Inc. under the tax receivable agreement if we were to elect to terminate the tax receivable agreement immediately after this offering, see “Unaudited Pro Forma Condensed Consolidated Financial Information.”</w:t>
      </w:r>
    </w:p>
    <w:p>
      <w:pPr>
        <w:spacing w:after="0" w:line="277" w:lineRule="exact"/>
        <w:rPr>
          <w:sz w:val="20"/>
          <w:szCs w:val="20"/>
          <w:color w:val="auto"/>
        </w:rPr>
      </w:pPr>
    </w:p>
    <w:p>
      <w:pPr>
        <w:ind w:left="640" w:right="380"/>
        <w:spacing w:after="0" w:line="375" w:lineRule="auto"/>
        <w:rPr>
          <w:sz w:val="20"/>
          <w:szCs w:val="20"/>
          <w:color w:val="auto"/>
        </w:rPr>
      </w:pPr>
      <w:r>
        <w:rPr>
          <w:rFonts w:ascii="Arial" w:cs="Arial" w:eastAsia="Arial" w:hAnsi="Arial"/>
          <w:sz w:val="15"/>
          <w:szCs w:val="15"/>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organizational structure, including the fact that Post will own more than 50% of the voting power of our outstanding common stock and hold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of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16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289"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If the BellRing Brands, LLC Board of Managers elects to make cash payments rather than issue shares of our Class A common stock in future redemptions of BellRing Brands, LLC Units, such cash payments may reduce the amount of overall cash flow that would otherwise be available to us.</w:t>
      </w:r>
    </w:p>
    <w:p>
      <w:pPr>
        <w:spacing w:after="0" w:line="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Subject to the terms of the amended and restated limited liability company agreement, BellRing Brands, LLC Units may be redeemed at any time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275" w:lineRule="exact"/>
        <w:rPr>
          <w:sz w:val="20"/>
          <w:szCs w:val="20"/>
          <w:color w:val="auto"/>
        </w:rPr>
      </w:pPr>
    </w:p>
    <w:p>
      <w:pPr>
        <w:ind w:left="640" w:right="5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After this offering, and subject to the lock-up period described below under “Shares Eligible for Future Sale—Lock-up Agreements,” Post generally has the right at any time, if it has redeemed BellRing Brands, LLC Units for shares of our Class A common stock, to sell or otherwise dispose of all or a portion of the shares of our Class A common stock that it owns to third parties. Post and its affiliates may also directly transfer their BellRing Brands, LLC Units to third parties without the consent or approval of the Board of Managers of BellRing Brands,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Brands, LLC Units as described in this prospectus, will provide for the right of such transferee to direct Post or its applicable affiliate, as the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holder of the share of our Class B common stock, to cast a number of votes to which such share of Class B common stock is entitled on all matters in which our stockholders generally are entitled to vote equal to the number of BellRing Brands, LLC Units held by such third party. See “Certain Relationships and Related Party Transactions—Post-Offering Relationship with Post—Amended and Restated Limited Liability Company Agreement— Transfer of BellRing Brands, LLC Units.” In addition, Post may determine to distribute its beneficial retained interest in BellRing Brands, LLC by means of a spin-off to its shareholders.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Post will have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 See “Shares Eligible for Future Sale—Registration Rights.”</w:t>
      </w:r>
    </w:p>
    <w:p>
      <w:pPr>
        <w:spacing w:after="0" w:line="295"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The services that Post will provide to us following the initial public offering may not be sufficient to meet our needs, which may result in increased costs and otherwise adversely affect our business.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Prior to completion of this offering, Post has provided us with various services including finance, information technology, legal, human resources, quality, supply chain and purchasing functions. Following this offering, we expect Post to continue to provide many of these services to us for a fee provided for in the master services agreement described in “Certain Relationships and Related Party Transactions—Post-Offering Relationship with Post —Master Services Agreement.” Post will not be obligated to provide these services in a manner that differs from the nature of the services today,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640" w:right="26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historical financial information we have included in this prospectus does not reflect, and the pro forma financial information included in this prospectus may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pro forma financial information included in this prospectus includes adjustments based upon available information we believe to be reasonable. However, the assumptions may change, and actual results may differ. In addition, we have not made pro forma adjustments to reflect many significant changes that will occur in our cost structure, funding and operations as a result of our transition to becoming a separate public company, including potential increased costs associated with reduced economies of scale and increased costs associated with being a publicly traded and separate company. For additional information about the basis of presentation of our pro forma financial information and historical financial information included in this prospectus, see “Selected Historical Condensed Combined Financial and Other Information” and “Unaudited Pro Forma Condensed Consolidated Financial Information.”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Except as described under the caption “Certain Relationships and Related Party Transactions—Post-Offering Relationship with Post,” after this offering we will no longer have access to Post’s infrastructure or services, and we will need to establish our own. The services historically provided to us by Post have included finance, information technology, legal, human resources, quality, supply chain and purchasing functions. Following this offering, Post will continue to provide some of these services to us pursuant to a master services agreement. For more information regarding the master services agreement, see “Certain Relationships and Related Party Transactions—Post-Offering Relationship with Post—Master Services Agreement.” However, we cannot assure you that all of these functions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master services agreement, we will need to perform these functions ourselves or hire third parties to perform these functions on our behalf.</w:t>
      </w:r>
    </w:p>
    <w:p>
      <w:pPr>
        <w:spacing w:after="0" w:line="281" w:lineRule="exact"/>
        <w:rPr>
          <w:sz w:val="20"/>
          <w:szCs w:val="20"/>
          <w:color w:val="auto"/>
        </w:rPr>
      </w:pPr>
    </w:p>
    <w:p>
      <w:pPr>
        <w:ind w:left="640" w:right="360"/>
        <w:spacing w:after="0" w:line="340" w:lineRule="auto"/>
        <w:rPr>
          <w:sz w:val="20"/>
          <w:szCs w:val="20"/>
          <w:color w:val="auto"/>
        </w:rPr>
      </w:pPr>
      <w:r>
        <w:rPr>
          <w:rFonts w:ascii="Arial" w:cs="Arial" w:eastAsia="Arial" w:hAnsi="Arial"/>
          <w:sz w:val="15"/>
          <w:szCs w:val="15"/>
          <w:b w:val="1"/>
          <w:bCs w:val="1"/>
          <w:i w:val="1"/>
          <w:iCs w:val="1"/>
          <w:color w:val="auto"/>
        </w:rPr>
        <w:t>As a public company, we will be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2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Although we will be able to take advantage of temporary exemptions for newly public companies and emerging growth companies, we will be required, pursuant to Section 404 of the Sarbanes-Oxley Act, to perform a comprehensive evaluation of our and our subsidiaries’ internal control over financial reporting. To comply with this statute, we will be required to document and test our internal control procedures and our management is required to assess and issue a report concerning our internal control over financial reporting commencing the year following when our first annual report is required to be filed with the SEC. In addition, our independent registered public accounting firm will be required to formally attest to the effectiveness of our internal control over financial reporting commencing the later of the year following when our first annual report is required to be filed with the SEC or the date we are no longer an emerging growth company.</w:t>
      </w:r>
    </w:p>
    <w:p>
      <w:pPr>
        <w:spacing w:after="0" w:line="17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significant documentation, testing and possible remediation is required to meet the detailed standards under the rules. During our testing, we may identify material weaknesses or significant deficiencies which may not be remedied in time to meet the deadlines imposed by the Sarbanes-Oxley Act and SEC rules. If our management cannot favorably assess the effectiveness of our internal control over financial reporting, investor confidence in our financial results may weaken, the market price of our Class A common stock may consequently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287"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b w:val="1"/>
          <w:bCs w:val="1"/>
          <w:i w:val="1"/>
          <w:iCs w:val="1"/>
          <w:color w:val="auto"/>
        </w:rPr>
        <w:t>Any guidance we provide is inherently speculative in nature, and if our actual operating results differ significantly from any guidance we provide, our stock price may decline.</w:t>
      </w:r>
    </w:p>
    <w:p>
      <w:pPr>
        <w:spacing w:after="0" w:line="62"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As a public company, we may, from time to time, release guidance regarding our future performance. Any guidance we provide will be prepared by our management based upon a number of assumptions and estimates that, although presented with numerical specificity, will inherently be subject to business, economic and competitive uncertainties and contingencies, many of which are and will be beyond our control and will be based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upon specific assumptions with respect to future business decisions, some of which will change. In addition, such guidance will not be prepared with a view toward compliance with published guidelines of the American Institute of Certified Public Accountants, and neither our independent registered public accounting firm nor any other independent expert or outside party will compile or examine the guidance and, accordingly, no such person will express any opinion or any other form of assurance with respect thereto. Guidance is necessarily speculative in nature, and it can be expected that some or all of the assumptions of the guidance that may be furnished by us will not materialize or will vary significantly from actual results. In light of the foregoing, investors are urged to put the guidance in context and not to place undue reliance on it. Further, we do not accept any responsibility for any projections or reports published by analysts or investors. In the event that our actual operating results differ significantly from any guidance we provide, our stock price may decline.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as adjusted net tangible book value per outstanding share of our Class A common stock. Therefore, if you purchase our Class A common stock in this offering, you will incur an immediate substantial dilution of $19.28 per share, the difference between the price per share you paid for a share of Class A common stock and the as adjusted net tangible book value per share of our Class A common stock calculated as of June 30, 2019, after giving effect to the issuance of shares of our Class A common stock in this offering. For additional information about the dilution that you will experience immediately after this offering, see “Dilution.”</w:t>
      </w:r>
    </w:p>
    <w:p>
      <w:pPr>
        <w:spacing w:after="0" w:line="266"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Because there has not been any public market for our Class A common stock, the market price and trading volume of our Class A common stock may be volatile, which could subject us to securities class action litigation and prevent you from being able to sell your shares at or above the offering price.</w:t>
      </w:r>
    </w:p>
    <w:p>
      <w:pPr>
        <w:spacing w:after="0" w:line="7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Prior to this offering, there has been no public market for shares of our Class A common stock. The initial public offering price of our Class A common stock was determined through negotiation among us, Post and the underwriters. This price does not necessarily reflect the price at which investors in the market will be willing to buy and sell shares of our Class A common stock following this offering. In addition, the market price of our Class A common stock following this offering may be highly volatile and could fluctuate significantly for many reasons, including the risk factors described in this section, many of which are beyond our control and may not be related to our operating performance. Such reasons may include, among others, reports by industry analysts, our failure to meet analysts’ earnings estimates, investor perceptions or negative developments relating to our customers, competitors or suppliers and general economic and industry conditions.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you to lose part of your investment in our Class A common stock since you might be unable to sell your shares at or above the price you paid in this offering.</w:t>
      </w:r>
    </w:p>
    <w:p>
      <w:pPr>
        <w:spacing w:after="0" w:line="293"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equity research analysts publish about us and our business. Equity research analysts may elect not to provide research coverage of our Class A common stock after this offering, and such lack of research coverage may adversely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affect the market price of our Class A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Class A common stock could decrease, which in turn could cause our stock price or trading volume to decline.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We have received approval to list our Class A common stock on the NYSE under the symbol “BRBR”. However, we cannot assure you that an active trading market for our Class A common stock will develop on that exchange or elsewhere or, if developed, that any market will be sustained. In addition, there can be no assurance of the liquidity of any trading market, your ability to sell your shares of our Class A common stock when desired or the prices that you may obtain for your shares.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286" w:lineRule="exact"/>
        <w:rPr>
          <w:sz w:val="20"/>
          <w:szCs w:val="20"/>
          <w:color w:val="auto"/>
        </w:rPr>
      </w:pPr>
    </w:p>
    <w:p>
      <w:pPr>
        <w:ind w:left="640" w:right="440"/>
        <w:spacing w:after="0" w:line="342" w:lineRule="auto"/>
        <w:rPr>
          <w:sz w:val="20"/>
          <w:szCs w:val="20"/>
          <w:color w:val="auto"/>
        </w:rPr>
      </w:pPr>
      <w:r>
        <w:rPr>
          <w:rFonts w:ascii="Arial" w:cs="Arial" w:eastAsia="Arial" w:hAnsi="Arial"/>
          <w:sz w:val="16"/>
          <w:szCs w:val="16"/>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you to sell your shares of our Class A common stock at a time and price that you consider appropriate, and could impair our ability to raise equity capital or use our common stock as consideration for acquisitions of other businesses, investments or other corporate purposes. After the consummation of this offering, we will have 131,759,894 shares of outstanding Class A common stock on a fully diluted basis, assuming that all of the BellRing Brands, LLC Units outstanding after giving effect to the formation transactions and this offering described under “Prospectus Summary—Formation Transactions,” excluding those held by us, are redeemed for shares of our Class A common stock and assuming no exercise of the underwriters’ over-allotment option. Also, in the future, we may issue shares of our Class A common stock or securities convertible into shares of our Class A common stock in connection with investments or acquisitions. The number of shares of our Class A common stock issued in connection with an investment or acquisition could constitute a material portion of our then outstanding shares of common stock.</w:t>
      </w:r>
    </w:p>
    <w:p>
      <w:pPr>
        <w:spacing w:after="0" w:line="178"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Immediately following the consummation of the formation transactions and this offering, the members of BellRing Brands, LLC will consist of us and Post, which will hold 97,474,180 BellRing Brands, LLC Units (equal to 74.0% of the economic interest in BellRing Brands, LLC) (or 71.2%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Subject to the terms of the amended and restated limited liability company agreement, BellRing Brands, LLC Units will be redeemable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Shares of our Class A common stock issuable upon a redemption of BellRing Brands, LLC Units as described above would be considered “restricted securities,” as that term is defined in Rule 144 under the Securities Act, unless the issuance is registered under the Securities Act. We, our executive officers and directors and Post also will agree with the underwriters not to</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sell, otherwise dispose of or hedge any our Class A common stock or BellRing Brands, LLC Units or securities convertible or exchangeable for shares of our Class A common stock, subject to specified exceptions, during the period from the date of this prospectus continuing through the date that is 180 days after the date of this prospectus, except with the prior written consent of the representatives of the underwriters. After the expiration of the 180-day lock-up period, the shares of our Class A common stock issuable upon redemption of BellRing Brands, LLC Units will be eligible for resale from time to time, subject to certain contractual restrictions and the requirements of the Securities Act.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file a registration statement under the Securities Act as soon as practicable after the closing of this offering</w:t>
      </w:r>
    </w:p>
    <w:p>
      <w:pPr>
        <w:spacing w:after="0" w:line="23" w:lineRule="exact"/>
        <w:rPr>
          <w:sz w:val="20"/>
          <w:szCs w:val="20"/>
          <w:color w:val="auto"/>
        </w:rPr>
      </w:pPr>
    </w:p>
    <w:p>
      <w:pPr>
        <w:ind w:left="200" w:right="100"/>
        <w:spacing w:after="0" w:line="252" w:lineRule="auto"/>
        <w:rPr>
          <w:sz w:val="20"/>
          <w:szCs w:val="20"/>
          <w:color w:val="auto"/>
        </w:rPr>
      </w:pPr>
      <w:r>
        <w:rPr>
          <w:rFonts w:ascii="Arial" w:cs="Arial" w:eastAsia="Arial" w:hAnsi="Arial"/>
          <w:sz w:val="18"/>
          <w:szCs w:val="18"/>
          <w:color w:val="auto"/>
        </w:rPr>
        <w:t>registering 2,000,000 shares of our Class A common stock reserved for issuance under the 2019 LTIP, under which we may grant stock options, restricted stock units and other share-based awards to employees, directors and other service providers, and we will enter into an investor rights agreement with Post providing certain governance and registration rights. See the information under the headings “Shares Eligible for Future Sale” and “Certain Relationships and Related Party Transactions—Post-Offering Relationship with Post—Investor Rights Agreement” for a more detailed description of the shares of our Class A common stock that will be available for future sale upon completion of this offering. Any shares of Class A common stock registered pursuant to the investor rights agreement will be freely tradable in the public market following the 180-day lock-up period described above.</w:t>
      </w:r>
    </w:p>
    <w:p>
      <w:pPr>
        <w:spacing w:after="0" w:line="301"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amended and restated certificate of incorporation will authorize us to issue up to 500,000,000 shares of Class A common stock, one share of Class B common stock and up to 50,000,000 shares of preferred stock with such rights and preferences as may be determined by our Board of Directors. Subject to compliance with applicable law and various ancillary agreements we intend to enter into with Post and its affiliates (other than us) in connection with this offering,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We do not intend to pay cash dividends on our Class A common stock for the foreseeable future. Consequently, investors must rely on sales of their shares of our Class A common stock after price appreciation, which may never occur, as the only way to realize any future gains on their investment. Investors seeking dividends should not purchase shares of our Class A common stock.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will not receive any of the net proceeds from this offering, our borrowings under the debt facilities or the Post bridge loan.</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BellRing Brands, Inc. will contribute the net proceeds of this offering to BellRing Brands, LLC in exchange for BellRing Brands, LLC Units. BellRing Brands, LLC, in turn, will use such net proceeds to repay a portion of the Post bridge loan and related interest. Immediately after the completion of the formation transactions and the completion of this offering, BellRing Brands, LLC expects to enter into the debt facilities and use the proceeds of such borrowing to repay the remaining balance of the Post bridge loan and all interest thereunder, and for the other purposes described under “Use of Proceeds.” See “Use of Proceeds” and Description of Certain Indebtedness—Debt Facilities.” Our management will not have any discretion over the specific use of such proceeds.</w:t>
      </w:r>
    </w:p>
    <w:p>
      <w:pPr>
        <w:spacing w:after="0" w:line="301" w:lineRule="exact"/>
        <w:rPr>
          <w:sz w:val="20"/>
          <w:szCs w:val="20"/>
          <w:color w:val="auto"/>
        </w:rPr>
      </w:pPr>
    </w:p>
    <w:p>
      <w:pPr>
        <w:ind w:left="640" w:right="320"/>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16"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which we intend to adopt prior to the completion of this offering, will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94" w:lineRule="exact"/>
        <w:rPr>
          <w:sz w:val="20"/>
          <w:szCs w:val="20"/>
          <w:color w:val="auto"/>
        </w:rPr>
      </w:pPr>
    </w:p>
    <w:p>
      <w:pPr>
        <w:ind w:left="1180" w:right="32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and its affiliates (other than us) no longer own of record more than 50% of the BellRing Brands, LLC Units;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will elect in our amended and restated certificate of incorporation not to be subject to Section 203 of the Delaware General Corporation Law. Nevertheless, our amended and restated certificate of incorporation will contain provisions that have the same effect as Section 203 of the Delaware General Corporation Law, except that they will provide that Post and its various successors and affiliates (and certain transferees of any of them designated in writing by Post) will not be deemed to be “interested stockholders,” regardless of the percentage of our stock owned by them, and accordingly will not be subject to such restrictions.</w:t>
      </w:r>
    </w:p>
    <w:p>
      <w:pPr>
        <w:spacing w:after="0" w:line="179"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For more information, see “Description of Capital Stock.” 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left="200" w:right="560" w:firstLine="441"/>
        <w:spacing w:after="0" w:line="312"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certain provisions of the JOBS Act that contain exceptions from disclosure and other requirements that otherwise are applicable to companies that conduct initial public offerings and file periodic reports with the SEC. These JOBS Act provisions:</w:t>
      </w:r>
    </w:p>
    <w:p>
      <w:pPr>
        <w:spacing w:after="0" w:line="52" w:lineRule="exact"/>
        <w:rPr>
          <w:sz w:val="20"/>
          <w:szCs w:val="20"/>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6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For more information, refer to “Business—Emerging Growth Company Status.” Some investors may find our Class A common stock less attractive if we rely on these provisions, which could result in a less active trading market for our Class A common stock and higher volatility in our stock price.</w:t>
      </w:r>
    </w:p>
    <w:p>
      <w:pPr>
        <w:spacing w:after="0" w:line="289" w:lineRule="exact"/>
        <w:rPr>
          <w:sz w:val="20"/>
          <w:szCs w:val="20"/>
          <w:color w:val="auto"/>
        </w:rPr>
      </w:pPr>
    </w:p>
    <w:p>
      <w:pPr>
        <w:ind w:left="640" w:right="160"/>
        <w:spacing w:after="0" w:line="264"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NYSE corporate governance standards and we will qualify for exemption from certain corporate governance requirements. We do not currently expect or intend to rely of any of these exemptions, but there can be no assurance that we will not rely on these exemptions in the future.</w:t>
      </w:r>
    </w:p>
    <w:p>
      <w:pPr>
        <w:spacing w:after="0" w:line="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Upon the completion of this offering, Post will own more than 50% of the voting power of all of our outstanding common stock. As a result, we will be a “controlled company” under the NYSE corporate governance standards and will be eligible to rely on exemptions from the following NYSE corporate governance requirements:</w:t>
      </w:r>
    </w:p>
    <w:p>
      <w:pPr>
        <w:spacing w:after="0" w:line="87" w:lineRule="exact"/>
        <w:rPr>
          <w:sz w:val="20"/>
          <w:szCs w:val="20"/>
          <w:color w:val="auto"/>
        </w:rPr>
      </w:pPr>
    </w:p>
    <w:p>
      <w:pPr>
        <w:ind w:left="1180" w:hanging="54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1180" w:right="62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may not have the same protections afforded to stockholders of companies that are subject to all of the NYSE rules regarding corporate governance.</w:t>
      </w:r>
    </w:p>
    <w:p>
      <w:pPr>
        <w:spacing w:after="0" w:line="289"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89"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b w:val="1"/>
          <w:bCs w:val="1"/>
          <w:i w:val="1"/>
          <w:iCs w:val="1"/>
          <w:color w:val="auto"/>
        </w:rPr>
        <w:t>BellRing Brands, Inc.’s only material asset after the completion of this offering will be BellRing Brands, Inc.’s interest in BellRing Brands, LLC, and accordingly, BellRing Brands, Inc. will depend on distributions from BellRing Brands, LLC to pay taxes and expenses, including payments under the tax receivable agreement. BellRing Brands, LLC’s ability to make such distributions may be subject to various limitations and restrictions.</w:t>
      </w:r>
    </w:p>
    <w:p>
      <w:pPr>
        <w:spacing w:after="0" w:line="7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Upon consummation of this offering, BellRing Brands, Inc. will be a holding company, will have no material assets other than BellRing Brands, Inc.’s ownership of BellRing Brands, LLC Units and will have no independent means of generating revenue or cash flow. BellRing Brands, LLC will be treated as a partnership for U.S. federal income tax purposes and, as such, will generally not, with the exception of certain of its subsidiaries, be subject to any entity-level U.S. federal income tax. Recently enacted legislation that is effective for taxable years beginning after December 31, 2017 may impute liability for adjustments to a partnership’s tax return on the partnership itself in certain circumstances, absent an election to the contrary. BellRing Brands, LLC may elect out of the application of these rules (but certain of its subsidiaries will likely not), but there can be no assurance that it will be eligible to do so in each tax year or that such election will be made. BellRing Brands, LLC (or its subsidiaries that are partnerships) may be subject to material liabilities pursuant to this legislation and related guidance if, for example, its calculations of taxable income are incorrect. Its members may be required to reimburse BellRing Brands, LLC for taxes, interest, and penalties resulting from an audit. Instead, taxable income will be allocated to holders of BellRing Brands, LLC Units, including BellRing Brands, Inc. As a result, BellRing Brands, Inc. will incur U.S. federal, state and local income taxes on its allocable share of any net taxable income of BellRing Brands, LLC. Under the terms of the BellRing Brands, LLC amended and restated limited liability company agreement, BellRing Brands, LLC will be obligated to make tax distributions pro rata to holders of the BellRing Brands, LLC Units, including, in the case of BellRing Brands, Inc., in an amount sufficient to allow BellRing Brands, Inc. to pay its tax obligations in respect of taxable income allocated to it from BellRing Brands, LLC and to make any payments required under the tax receivable agreement. In addition to tax expenses, and expenses under the tax receivable agreement, which could be significant, BellRing Brands, Inc. also will incur expenses related to its operations. See “Certain Relationships and Related Party Transactions—Post-Offering Relationship with Post—Tax Receivable Agreement.” We expect that BellRing Brands, LLC will make distributions pro rata to holders of the BellRing Brands, LLC Units in an amount sufficient to allow BellRing Brands, Inc. to pay its operating expenses.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accelerate payments due under the tax receivable agreement.</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contains forward-looking statements.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prospectus.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99" w:lineRule="exact"/>
        <w:rPr>
          <w:sz w:val="20"/>
          <w:szCs w:val="20"/>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 and higher freight costs, significant volatility in the costs or availability of certain raw materials, commodities or packaging used to manufacture our products and higher energy costs;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trends and introduce new products;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allegations that our products cause injury or illness, product recalls and withdrawals and product liability claims and other litigation;</w:t>
      </w:r>
    </w:p>
    <w:p>
      <w:pPr>
        <w:spacing w:after="0" w:line="142" w:lineRule="exact"/>
        <w:rPr>
          <w:rFonts w:ascii="Arial" w:cs="Arial" w:eastAsia="Arial" w:hAnsi="Arial"/>
          <w:sz w:val="17"/>
          <w:szCs w:val="17"/>
          <w:color w:val="auto"/>
        </w:rPr>
      </w:pPr>
    </w:p>
    <w:p>
      <w:pPr>
        <w:ind w:left="1180" w:right="6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75" w:lineRule="exact"/>
        <w:rPr>
          <w:rFonts w:ascii="Arial" w:cs="Arial" w:eastAsia="Arial" w:hAnsi="Arial"/>
          <w:sz w:val="18"/>
          <w:szCs w:val="18"/>
          <w:color w:val="auto"/>
        </w:rPr>
      </w:pPr>
    </w:p>
    <w:p>
      <w:pPr>
        <w:ind w:left="1180" w:right="380" w:hanging="544"/>
        <w:spacing w:after="0" w:line="308"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anticipated high leverage, our ability to obtain additional financing (including both secured and unsecured debt) and our ability to service our anticipated outstanding debt (including covenants that may restrict the operation of our business);</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jc w:val="both"/>
        <w:ind w:left="1180" w:right="300" w:hanging="544"/>
        <w:spacing w:after="0" w:line="264"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our Company and our obligations under various agreements with Post, including under the tax receivable agreement;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accuracy of our market size and related estimates;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 disruptions in the United States and global capital and credit markets, changes in interest rates and fluctuations in foreign currency exchange rates;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30"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180" w:hanging="544"/>
        <w:spacing w:after="0" w:line="308"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risks associated with our public company status after this offering, including our ability to operate as a separate public company and the additional expenses we expect to incur to create the corporate infrastructure to operate as a public company;</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prospectus.</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prospectus to conform these statements to actual results or to changes in our expectations.</w:t>
      </w:r>
    </w:p>
    <w:p>
      <w:pPr>
        <w:spacing w:after="0" w:line="8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240" w:top="459" w:right="6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estimate that the net proceeds from the sale of our Class A common stock in this offering, after deducting the underwriting discounts and commissions and expenses of this offering, will be approximately $448.0 million ($516.4 million if the underwriters exercise their over-allotment option in full).</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BellRing Brands, Inc. will contribute the net proceeds of this offering to BellRing Brands, LLC in exchange for BellRing Brands, LLC Units as described under “Prospectus Summary—Formation Transactions.” BellRing Brands, LLC, in turn, will use the net proceeds of this offering that it receives from BellRing Brands, Inc. to repay a portion of the Post bridge loan and related interest. Immediately after the completion of the formation transactions and the completion of this offering, BellRing Brands, LLC expects to enter into the debt facilities and use the proceeds of such borrowing under the term loan facility and the revolving credit facility (i) to repay the remaining balance of the Post bridge loan and all interest thereunder, (ii) to pay directly, or reimburse Post for, as applicable, all fees and expenses incurred by us or Post in connection with this offering and the formation transactions (including the debt facilities but excluding the Post bridge loan), (iii) to reimburse Post for the amount of cash on our balance sheet immediately prior to the completion of this offering, and (iv) to the extent there are any remaining proceeds, for general corporate purposes, including, for example, to redeem for cash any BellRing Brands, LLC Units that Post may elect in the future to redeem. Post has advised us that it may determine to redeem a portion of its BellRing Brands, LLC Units in the event the proceeds of this offering together with the proceeds of the borrowings under the debt facilities as described in this prospectus result in net proceeds to BellRing Brands, LLC that exceed the amount of funds required to satisfy the uses described under clauses (i) through (iii) above. See “Description of Certain Indebtedness—Debt Facilities.” The Post bridge loan bears an initial interest rate equal to the Eurodollar Rate (as such term is defined in the bridge facility agreement) plus 450 basis points and thereafter as described under “Description of Certain Indebtedness—Post Bridge Loan” and matures on August 23, 2024. The Post bridge loan will be entered into by Post as part of the formation transactions. Post will retain all of the net proceeds of the Post bridge loan, and BellRing Brands, LLC will become the borrower under the Post bridge loan as part of the formation transactions.</w:t>
      </w:r>
    </w:p>
    <w:p>
      <w:pPr>
        <w:spacing w:after="0" w:line="181" w:lineRule="exact"/>
        <w:rPr>
          <w:sz w:val="20"/>
          <w:szCs w:val="20"/>
          <w:color w:val="auto"/>
        </w:rPr>
      </w:pPr>
    </w:p>
    <w:p>
      <w:pPr>
        <w:ind w:left="200" w:firstLine="441"/>
        <w:spacing w:after="0" w:line="252" w:lineRule="auto"/>
        <w:rPr>
          <w:sz w:val="20"/>
          <w:szCs w:val="20"/>
          <w:color w:val="auto"/>
        </w:rPr>
      </w:pPr>
      <w:r>
        <w:rPr>
          <w:rFonts w:ascii="Arial" w:cs="Arial" w:eastAsia="Arial" w:hAnsi="Arial"/>
          <w:sz w:val="18"/>
          <w:szCs w:val="18"/>
          <w:color w:val="auto"/>
        </w:rPr>
        <w:t>Affiliates of Morgan Stanley &amp; Co. LLC, Citigroup Global Markets Inc., J.P. Morgan Securities LLC, Goldman Sachs &amp; Co. LLC, BofA Securities, Inc. and Credit Suisse Securities (USA) LLC, each of which is an underwriter in this offering, are lenders under the Post bridge loan. The proceeds received by BellRing Brands, LLC from its sale of BellRing Brands, LLC Units will be used to repay a portion of the Post bridge loan and related interest.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Barclays Capital Inc. has agreed to act as qualified independent underwriter for the offering and to undertake the legal responsibilities and liabilities of an underwriter under the Securities Act, specifically including those inherent in Section 11 of the Securities Act. We will agree to indemnify Barclays Capital Inc. against liabilities incurred in connection with acting as qualified independent underwriter, including liabilities under the Securities Act. Moreover, none of Morgan Stanley &amp; Co. LLC, Citigroup Global Markets Inc., J.P. Morgan Securities LLC, Goldman Sachs &amp; Co. LLC, BofA Securities, Inc. and Credit Suisse Securities (USA) LLC is permitted to sell Class A common stock in this offering to an account over which it exercises discretionary authority without the prior specific written approval of the account holder. See “Underwriting (Conflicts of Interest).”</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5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ability to pay dividends depends on our receipt of cash dividends or distributions from our operating subsidiaries, including BellRing Brands, LLC. The laws of our subsidiaries’ jurisdictions of organization or agreements entered into by our subsidiaries, including agreements governing indebtedness, may restrict their ability to pay dividends or make distributions to us and further restrict our ability to pay dividends. Cash distributions from BellRing Brands, LLC may be distributed from time to time at the discretion of the Board of Managers pro rata to its members, currently us and Post, according to the number of BellRing Brands, LLC Units held by each of us, except that the Board of Managers may cause BellRing Brands, LLC to make non-proportionate distributions to BellRing Brands, Inc. in connection with any cash redemption of BellRing Brands, Inc.’s Class A common stock. The amended and restated limited liability company agreement provides, to the extent cash is available, for distributions pro rata to the holders of BellRing Brands, LLC Units such that members receive an amount of cash sufficient to cover the estimated taxes payable by them and to cover obligations of BellRing Brands, Inc. under the tax receivable agreement as described under “Certain Relationships and Related Party Transactions— Post-Offering Relationship with Post—Amended and Restated Limited Liability Company Agreement—Distributions and Allocations.” Future agreements governing our indebtedness may also limit our ability to pay dividends. We expect that the debt facilities that BellRing Brands, LLC expects to enter into after completion of this offering will include restrictions on its ability to make distributions and will thus restrict our ability to pay dividends. See “Description of Certain Indebtedness.”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dividends are declared, holders of shares of our Class A common stock could be eligible to receive dividends in respect of such shares, however, holders of our Class B common stock would not be entitled to receive any dividends in respect of such shares.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expect to declare or pay any dividends on our Class A common stock for the foreseeable future.”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our cash and cash equivalents and capitalization as of June 30, 2019:</w:t>
      </w:r>
    </w:p>
    <w:p>
      <w:pPr>
        <w:spacing w:after="0" w:line="131" w:lineRule="exact"/>
        <w:rPr>
          <w:sz w:val="20"/>
          <w:szCs w:val="20"/>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180" w:right="140" w:hanging="544"/>
        <w:spacing w:after="0" w:line="302"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an as adjusted basis after giving effect to: (i) this offering, (ii) the entry of BellRing Brands, LLC into the debt facilities, the borrowing by BellRing Brands, LLC under the term loan facility and the revolving credit facility and the application of the net proceeds of this offering and the debt facilities to repay in full the Post bridge loan and all interest thereunder and for the other purposes described under “Use of Proceeds” and (iii) the formation transactions, and assuming no exercise of the underwriters’ over-allotment option.</w:t>
      </w:r>
    </w:p>
    <w:p>
      <w:pPr>
        <w:spacing w:after="0" w:line="154"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business’s audited combined financial statements and the notes thereto as of September 30, 2018 and 2017 and for the three fiscal years ended September 30, 2018 and Post’s Active Nutrition business’s unaudited condensed combined financial statements and the notes thereto for the nine months ended June 30, 2019 and 2018, each appearing elsewhere in this prospectus.</w:t>
      </w:r>
    </w:p>
    <w:p>
      <w:pPr>
        <w:spacing w:after="0" w:line="19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As of June 30, 2019</w:t>
      </w:r>
    </w:p>
    <w:p>
      <w:pPr>
        <w:jc w:val="center"/>
        <w:ind w:left="8820"/>
        <w:spacing w:after="0" w:line="23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Active</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w w:val="98"/>
              </w:rPr>
              <w:t>BellRing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Nutrition</w:t>
            </w:r>
          </w:p>
        </w:tc>
        <w:tc>
          <w:tcPr>
            <w:tcW w:w="116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Brands, Inc.</w:t>
            </w:r>
          </w:p>
        </w:tc>
        <w:tc>
          <w:tcPr>
            <w:tcW w:w="0" w:type="dxa"/>
            <w:vAlign w:val="bottom"/>
          </w:tcPr>
          <w:p>
            <w:pPr>
              <w:spacing w:after="0"/>
              <w:rPr>
                <w:sz w:val="1"/>
                <w:szCs w:val="1"/>
                <w:color w:val="auto"/>
              </w:rPr>
            </w:pPr>
          </w:p>
        </w:tc>
      </w:tr>
      <w:tr>
        <w:trPr>
          <w:trHeight w:val="171"/>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Historical</w:t>
            </w:r>
          </w:p>
        </w:tc>
        <w:tc>
          <w:tcPr>
            <w:tcW w:w="2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8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facility</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debt</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Debt issuance costs</w:t>
            </w:r>
            <w:r>
              <w:rPr>
                <w:rFonts w:ascii="Arial" w:cs="Arial" w:eastAsia="Arial" w:hAnsi="Arial"/>
                <w:sz w:val="15"/>
                <w:szCs w:val="15"/>
                <w:color w:val="auto"/>
              </w:rPr>
              <w:t>(a)</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Unamortized discount</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340"/>
              <w:spacing w:after="0" w:line="201" w:lineRule="exact"/>
              <w:rPr>
                <w:sz w:val="20"/>
                <w:szCs w:val="20"/>
                <w:color w:val="auto"/>
              </w:rPr>
            </w:pPr>
            <w:r>
              <w:rPr>
                <w:rFonts w:ascii="Arial" w:cs="Arial" w:eastAsia="Arial" w:hAnsi="Arial"/>
                <w:sz w:val="18"/>
                <w:szCs w:val="18"/>
                <w:color w:val="auto"/>
                <w:w w:val="91"/>
              </w:rPr>
              <w:t>Class A, par value $0.01 per share; actual: No shares authorized, issued and outstanding as of June 30, 2019; as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adjusted: 500,000,000 shares authorized, 34,285,714 shares issued and outstanding</w:t>
            </w:r>
            <w:r>
              <w:rPr>
                <w:rFonts w:ascii="Arial" w:cs="Arial" w:eastAsia="Arial" w:hAnsi="Arial"/>
                <w:sz w:val="15"/>
                <w:szCs w:val="15"/>
                <w:color w:val="auto"/>
              </w:rPr>
              <w:t>(b)</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Class B, par value $0.01 per share; actual: No shares authorized, issued and outstanding as of June 30, 2019; as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adjusted: one share authorized, issued and outstanding</w:t>
            </w:r>
            <w:r>
              <w:rPr>
                <w:rFonts w:ascii="Arial" w:cs="Arial" w:eastAsia="Arial" w:hAnsi="Arial"/>
                <w:sz w:val="15"/>
                <w:szCs w:val="15"/>
                <w:color w:val="auto"/>
              </w:rPr>
              <w:t>(b)</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340"/>
              <w:spacing w:after="0" w:line="201" w:lineRule="exact"/>
              <w:rPr>
                <w:sz w:val="20"/>
                <w:szCs w:val="20"/>
                <w:color w:val="auto"/>
              </w:rPr>
            </w:pPr>
            <w:r>
              <w:rPr>
                <w:rFonts w:ascii="Arial" w:cs="Arial" w:eastAsia="Arial" w:hAnsi="Arial"/>
                <w:sz w:val="18"/>
                <w:szCs w:val="18"/>
                <w:color w:val="auto"/>
                <w:w w:val="95"/>
              </w:rPr>
              <w:t>Preferred stock, par value $0.01 per share; 50,000,000 shares authorized, no shares issued and outstanding</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actual and as adjusted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1060"/>
              <w:spacing w:after="0"/>
              <w:rPr>
                <w:sz w:val="20"/>
                <w:szCs w:val="20"/>
                <w:color w:val="auto"/>
              </w:rPr>
            </w:pPr>
            <w:r>
              <w:rPr>
                <w:rFonts w:ascii="Arial" w:cs="Arial" w:eastAsia="Arial" w:hAnsi="Arial"/>
                <w:sz w:val="18"/>
                <w:szCs w:val="18"/>
                <w:color w:val="auto"/>
              </w:rPr>
              <w:t>Total Capitalization</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jc w:val="right"/>
              <w:ind w:right="297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5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completion of this offering, Post borrowed $1,225.0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guaranteed the Post bridge loan. On the same day this offering is completed, and as part of the formation transactions, BellRing Brands, LLC will become the borrower under the Post bridge loan and assume all interest of $2.2 million thereunder, and Post and its subsidiary guarantors (which will not include BellRing Brands, LLC or its domestic subsidiaries) will be released from all of their obligations under the Post bridge loan and all interest thereunder. We will not receive any of the proceeds of the Post bridge loan.</w:t>
      </w:r>
    </w:p>
    <w:p>
      <w:pPr>
        <w:spacing w:after="0" w:line="94" w:lineRule="exact"/>
        <w:rPr>
          <w:rFonts w:ascii="Arial" w:cs="Arial" w:eastAsia="Arial" w:hAnsi="Arial"/>
          <w:sz w:val="18"/>
          <w:szCs w:val="18"/>
          <w:color w:val="auto"/>
        </w:rPr>
      </w:pPr>
    </w:p>
    <w:p>
      <w:pPr>
        <w:ind w:left="640" w:right="40"/>
        <w:spacing w:after="0" w:line="270" w:lineRule="auto"/>
        <w:rPr>
          <w:rFonts w:ascii="Arial" w:cs="Arial" w:eastAsia="Arial" w:hAnsi="Arial"/>
          <w:sz w:val="18"/>
          <w:szCs w:val="18"/>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$200.0 million revolving credit facility and an approximately $700.0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6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For purposes of the table above, we have assumed: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$100.0 million of borrowings under the revolving credit facility will be incurred concurrently with the completion of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that the full amount available under the term loan facility will be incurred concurrently with the completion of this offering; and</w:t>
      </w:r>
    </w:p>
    <w:p>
      <w:pPr>
        <w:spacing w:after="0" w:line="130" w:lineRule="exact"/>
        <w:rPr>
          <w:rFonts w:ascii="Arial" w:cs="Arial" w:eastAsia="Arial" w:hAnsi="Arial"/>
          <w:sz w:val="18"/>
          <w:szCs w:val="18"/>
          <w:color w:val="auto"/>
        </w:rPr>
      </w:pPr>
    </w:p>
    <w:p>
      <w:pPr>
        <w:ind w:left="1180" w:hanging="544"/>
        <w:spacing w:after="0" w:line="259" w:lineRule="auto"/>
        <w:tabs>
          <w:tab w:leader="none" w:pos="1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that BellRing Brands, LLC will receive net proceeds from the borrowings of approximately $2.3 million, after deducting fees and expenses (including original issue discount with respect to the term loan facility) of $23.1 million ($2.0 million related to the revolving credit facility and $21.1 million related to the term loan facility), repayment of the remaining portion of the Post bridge loan and related interest and repayment of cash and cash equivalents. See footnote (d) below.</w:t>
      </w:r>
    </w:p>
    <w:p>
      <w:pPr>
        <w:spacing w:after="0" w:line="92" w:lineRule="exact"/>
        <w:rPr>
          <w:rFonts w:ascii="Arial" w:cs="Arial" w:eastAsia="Arial" w:hAnsi="Arial"/>
          <w:sz w:val="18"/>
          <w:szCs w:val="18"/>
          <w:color w:val="auto"/>
        </w:rPr>
      </w:pPr>
    </w:p>
    <w:p>
      <w:pPr>
        <w:ind w:left="640" w:hanging="436"/>
        <w:spacing w:after="0" w:line="342"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part of the formation transactions, BellRing Brands, Inc. will issue to Post (in exchange for the 1,000 shares of common stock initially issued to Post in connection with its incorporation, which shares will be cancelled as part of the exchange) one share of its Class B common stock.</w:t>
      </w:r>
    </w:p>
    <w:p>
      <w:pPr>
        <w:spacing w:after="0" w:line="29" w:lineRule="exact"/>
        <w:rPr>
          <w:rFonts w:ascii="Arial" w:cs="Arial" w:eastAsia="Arial" w:hAnsi="Arial"/>
          <w:sz w:val="16"/>
          <w:szCs w:val="16"/>
          <w:color w:val="auto"/>
        </w:rPr>
      </w:pPr>
    </w:p>
    <w:p>
      <w:pPr>
        <w:ind w:left="640" w:right="40"/>
        <w:spacing w:after="0" w:line="277" w:lineRule="auto"/>
        <w:rPr>
          <w:rFonts w:ascii="Arial" w:cs="Arial" w:eastAsia="Arial" w:hAnsi="Arial"/>
          <w:sz w:val="16"/>
          <w:szCs w:val="16"/>
          <w:color w:val="auto"/>
        </w:rPr>
      </w:pPr>
      <w:r>
        <w:rPr>
          <w:rFonts w:ascii="Arial" w:cs="Arial" w:eastAsia="Arial" w:hAnsi="Arial"/>
          <w:sz w:val="18"/>
          <w:szCs w:val="18"/>
          <w:color w:val="auto"/>
        </w:rPr>
        <w:t>In this offering, BellRing Brands, Inc. will issue 34,285,714 shares of its Class A common stock (or 39,428,571 shares if the underwriters exercise their over-allotment option in full).</w:t>
      </w:r>
    </w:p>
    <w:p>
      <w:pPr>
        <w:spacing w:after="0" w:line="75" w:lineRule="exact"/>
        <w:rPr>
          <w:rFonts w:ascii="Arial" w:cs="Arial" w:eastAsia="Arial" w:hAnsi="Arial"/>
          <w:sz w:val="16"/>
          <w:szCs w:val="16"/>
          <w:color w:val="auto"/>
        </w:rPr>
      </w:pPr>
    </w:p>
    <w:p>
      <w:pPr>
        <w:ind w:left="640" w:right="20"/>
        <w:spacing w:after="0" w:line="271" w:lineRule="auto"/>
        <w:rPr>
          <w:rFonts w:ascii="Arial" w:cs="Arial" w:eastAsia="Arial" w:hAnsi="Arial"/>
          <w:sz w:val="16"/>
          <w:szCs w:val="16"/>
          <w:color w:val="auto"/>
        </w:rPr>
      </w:pPr>
      <w:r>
        <w:rPr>
          <w:rFonts w:ascii="Arial" w:cs="Arial" w:eastAsia="Arial" w:hAnsi="Arial"/>
          <w:sz w:val="17"/>
          <w:szCs w:val="17"/>
          <w:color w:val="auto"/>
        </w:rPr>
        <w:t>Post will hold 97,474,180 BellRing Brands, LLC Units, which will represent 74.0% of the economic interest in BellRing Brands, LLC (or 71.2% if the underwriters exercise their over-allotment option in full), and one share of Class B common stock, which, for so long as Post or its affiliates (other than us) directly own more than 50% of the BellRing Brands, LLC Units as described in this prospectus, will represent 67% of the combined voting power of the common stock of BellRing Brands, Inc. Due to Post’s rights to redeem BellRing Brands, LLC Units for (i) shares of BellRing Brands, Inc. Class A common stock on a one-for-one basis or (ii) cash at BellRing Brands, LLC’s option (as determined by the BellRing Brands, LLC Board of Managers), the noncontrolling interest in BellRing Brands, LLC represented by these BellRing Brands, LLC Units will be classified as temporary equity. The noncontrolling interest balance is determined based on the fair value of Post’s BellRing Brands, LLC Units if they were to be converted to shares of BellRing Brands, Inc. Class A common stock.</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69"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BellRing Brands, Inc. expects to receive net proceeds from this offering of approximately $448.0 million (or approximately $516.4 million if the underwriters exercise their over-allotment option in full), after deducting underwriting discounts and commissions and estimated offering expenses payable by us, which such amounts of net proceeds would be $456.0 million and $524.4 million, respectively, before giving effect to estimated offering expenses payable by us of approximately $8.0 million.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 and related interest. The net cash proceeds of $2.3 million as used in footnote (d) below and elsewhere in this prospectus do not include estimated offering expenses of approximately $8.0 million payable by us. Under the master transaction agreement, we are required to reimburse Post for all expenses of this offering previously paid by Post. In the event the underwriters do not exercise their over-allotment option for a number of shares that would result in additional net proceeds of approximately $8.0 million, then BellRing Brands, LLC will reimburse Post for such offering expenses from sources other than the proceeds of this offering.</w:t>
      </w:r>
    </w:p>
    <w:p>
      <w:pPr>
        <w:spacing w:after="0" w:line="88" w:lineRule="exact"/>
        <w:rPr>
          <w:rFonts w:ascii="Arial" w:cs="Arial" w:eastAsia="Arial" w:hAnsi="Arial"/>
          <w:sz w:val="17"/>
          <w:szCs w:val="17"/>
          <w:color w:val="auto"/>
        </w:rPr>
      </w:pPr>
    </w:p>
    <w:p>
      <w:pPr>
        <w:ind w:left="640" w:right="160" w:hanging="436"/>
        <w:spacing w:after="0" w:line="25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Following the completion of this offering, BellRing Brands, LLC will receive proceeds from the term loan, the revolving credit facility and the offering and make payments for the Post bridge loan and related interest. In addition, BellRing Brands, LLC will pay to Post an amount equal to the value of all cash and cash equivalents held by BellRing Brands, LLC and its subsidiaries as of immediately prior to the consummation of this offering. See related cash adjustments as follows:</w:t>
      </w:r>
    </w:p>
    <w:p>
      <w:pPr>
        <w:spacing w:after="0" w:line="206"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term loan and revolving credit facility </w:t>
            </w:r>
            <w:r>
              <w:rPr>
                <w:rFonts w:ascii="Arial" w:cs="Arial" w:eastAsia="Arial" w:hAnsi="Arial"/>
                <w:sz w:val="15"/>
                <w:szCs w:val="15"/>
                <w:color w:val="auto"/>
              </w:rPr>
              <w:t>(a)</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3"/>
              </w:rPr>
              <w:t xml:space="preserve">Net proceeds from offering (excluding offering expenses) </w:t>
            </w:r>
            <w:r>
              <w:rPr>
                <w:rFonts w:ascii="Arial" w:cs="Arial" w:eastAsia="Arial" w:hAnsi="Arial"/>
                <w:sz w:val="15"/>
                <w:szCs w:val="15"/>
                <w:color w:val="auto"/>
                <w:w w:val="93"/>
              </w:rPr>
              <w:t>(c)</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Payment of Post bridge loan and interest </w:t>
            </w:r>
            <w:r>
              <w:rPr>
                <w:rFonts w:ascii="Arial" w:cs="Arial" w:eastAsia="Arial" w:hAnsi="Arial"/>
                <w:sz w:val="15"/>
                <w:szCs w:val="15"/>
                <w:color w:val="auto"/>
              </w:rPr>
              <w:t>(a)</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Payment of cash and cash equivalents to Post</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60" w:type="dxa"/>
            <w:vAlign w:val="bottom"/>
          </w:tcPr>
          <w:p>
            <w:pPr>
              <w:jc w:val="right"/>
              <w:ind w:right="369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Because Post will not own any Class A common stock after this offering, we have presented dilution in pro forma net tangible book value per share both before and after this offering assuming that Post has all of its BellRing Brands, LLC Units redeemed for newly issued shares of Class A common stock on a one-to-one basis (rather than for cash) and the cancellation for no consideration of all of its share of Class B common stock (which is not entitled to receive distributions or dividends, whether cash or stock, from BellRing Brands, Inc.) in order to more meaningfully present the potential dilutive impact on the investors in this offering. We refer to the assumed redemption of all BellRing Brands, LLC Units for shares of Class A common stock as described in the previous sentence as the “assumed redemption.”</w:t>
      </w:r>
    </w:p>
    <w:p>
      <w:pPr>
        <w:spacing w:after="0" w:line="178"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after this offering.</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Pro forma net tangible book value per share of Class A common stock of BellRing Brands, Inc. is determined by dividing our total tangible assets (total assets less goodwill, other intangible assets, net and deferred financing fees) less our total liabilities (excluding debt issuance cost and unamortized discount) by the number of shares of our Class A common stock outstanding. As of June 30, 2019, after giving effect to the formation transactions (including the assumption by BellRing Brands, LLC of the Post bridge loan and related interest) and the assumed redemption, but not this offering, the use of the proceeds of this offering or the expected borrowing under the debt facilities for the purposes described under “Use of Proceeds,” we had a pro forma net tangible book value of $(1,125.4) million, or $(11.55) per share of Class A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After giving further effect to receipt of the net proceeds from our issuance and the sale of 34,285,714 shares of Class A common stock in this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offering, and after deducting the estimated underwriting discounts and commissions and offering expenses payable by us and the use of the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offering and the expected borrowing under the debt facilities for the purposes described under “Use of Proceeds,” our pro forma as adjusted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tangible book value as of June 30, 2019 would have been approximately $(695.9) million, or approximately $(5.28) per share. This amount represents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immediate increase in pro forma net tangible book value of $6.27 per share to our existing stockholder and an immediate dilution of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$19.28 per share to new investors participating in this offering. We determine dilution by subtracting the pro forma as adjusted net tangible book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 share after this offering from the amount of cash that a new investor paid for a share of Class A common stock.</w:t>
      </w:r>
    </w:p>
    <w:p>
      <w:pPr>
        <w:spacing w:after="0" w:line="21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tcPr>
          <w:p>
            <w:pPr>
              <w:ind w:left="340"/>
              <w:spacing w:after="0" w:line="201" w:lineRule="exact"/>
              <w:rPr>
                <w:sz w:val="20"/>
                <w:szCs w:val="20"/>
                <w:color w:val="auto"/>
              </w:rPr>
            </w:pPr>
            <w:r>
              <w:rPr>
                <w:rFonts w:ascii="Arial" w:cs="Arial" w:eastAsia="Arial" w:hAnsi="Arial"/>
                <w:sz w:val="18"/>
                <w:szCs w:val="18"/>
                <w:color w:val="auto"/>
                <w:w w:val="93"/>
              </w:rPr>
              <w:t>Pro forma net tangible book value per share as of June 30, 2019, giving effect to the formation transactions (including the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w w:val="94"/>
              </w:rPr>
              <w:t>assumption by BellRing Brands, LLC of the Post bridge loan) and the assumed redemption, but not this offering or the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w w:val="91"/>
              </w:rPr>
              <w:t>use of the proceeds of this offering and the expected borrowing under the debt facilities for the purposes described under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520"/>
              <w:spacing w:after="0"/>
              <w:rPr>
                <w:sz w:val="20"/>
                <w:szCs w:val="20"/>
                <w:color w:val="auto"/>
              </w:rPr>
            </w:pPr>
            <w:r>
              <w:rPr>
                <w:rFonts w:ascii="Arial" w:cs="Arial" w:eastAsia="Arial" w:hAnsi="Arial"/>
                <w:sz w:val="18"/>
                <w:szCs w:val="18"/>
                <w:color w:val="auto"/>
              </w:rPr>
              <w:t>“Use of Proceeds”</w:t>
            </w:r>
            <w:r>
              <w:rPr>
                <w:rFonts w:ascii="Arial" w:cs="Arial" w:eastAsia="Arial" w:hAnsi="Arial"/>
                <w:sz w:val="15"/>
                <w:szCs w:val="15"/>
                <w:color w:val="auto"/>
              </w:rPr>
              <w:t>(a)</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$(11.55)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0" w:type="dxa"/>
            <w:vAlign w:val="bottom"/>
            <w:gridSpan w:val="2"/>
          </w:tcPr>
          <w:p>
            <w:pPr>
              <w:spacing w:after="0"/>
              <w:rPr>
                <w:sz w:val="20"/>
                <w:szCs w:val="20"/>
                <w:color w:val="auto"/>
              </w:rPr>
            </w:pPr>
            <w:r>
              <w:rPr>
                <w:rFonts w:ascii="Arial" w:cs="Arial" w:eastAsia="Arial" w:hAnsi="Arial"/>
                <w:sz w:val="18"/>
                <w:szCs w:val="18"/>
                <w:color w:val="auto"/>
                <w:w w:val="91"/>
              </w:rPr>
              <w:t>Less: Pro forma as adjusted net tangible book value per share of Class A common stock upon completion of this offering and the</w:t>
            </w: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w w:val="91"/>
              </w:rPr>
              <w:t>use of the proceeds of this offering and the expected borrowing under the debt facilities for the purposes described under “Use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of Proceeds”</w:t>
            </w:r>
            <w:r>
              <w:rPr>
                <w:rFonts w:ascii="Arial" w:cs="Arial" w:eastAsia="Arial" w:hAnsi="Arial"/>
                <w:sz w:val="15"/>
                <w:szCs w:val="15"/>
                <w:color w:val="auto"/>
              </w:rPr>
              <w:t>(b)</w:t>
            </w:r>
          </w:p>
        </w:tc>
        <w:tc>
          <w:tcPr>
            <w:tcW w:w="1020" w:type="dxa"/>
            <w:vAlign w:val="bottom"/>
            <w:gridSpan w:val="3"/>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from this offering</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jc w:val="right"/>
              <w:ind w:right="371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above discussion and table exclude an aggregate of 2,000,000 additional shares of our Class A common stock reserved for future awards pursuant to the 2019 LTIP.</w:t>
      </w:r>
    </w:p>
    <w:p>
      <w:pPr>
        <w:spacing w:after="0" w:line="197"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(a)</w:t>
        <w:tab/>
        <w:t>Pro forma net tangible book value per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080" w:type="dxa"/>
            <w:vAlign w:val="bottom"/>
            <w:gridSpan w:val="2"/>
          </w:tcPr>
          <w:p>
            <w:pPr>
              <w:ind w:left="8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23"/>
        </w:trPr>
        <w:tc>
          <w:tcPr>
            <w:tcW w:w="9080" w:type="dxa"/>
            <w:vAlign w:val="bottom"/>
            <w:gridSpan w:val="2"/>
          </w:tcPr>
          <w:p>
            <w:pPr>
              <w:ind w:left="840"/>
              <w:spacing w:after="0"/>
              <w:rPr>
                <w:sz w:val="20"/>
                <w:szCs w:val="20"/>
                <w:color w:val="auto"/>
              </w:rPr>
            </w:pPr>
            <w:r>
              <w:rPr>
                <w:rFonts w:ascii="Arial" w:cs="Arial" w:eastAsia="Arial" w:hAnsi="Arial"/>
                <w:sz w:val="18"/>
                <w:szCs w:val="18"/>
                <w:color w:val="auto"/>
              </w:rPr>
              <w:t>Total tangible assets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(excluding current and 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Post bridge loan and 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1,355.0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 forma net tangible book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BellRing Brands, LLC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97,474,180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 forma net tangible book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445"/>
        </w:trPr>
        <w:tc>
          <w:tcPr>
            <w:tcW w:w="9080" w:type="dxa"/>
            <w:vAlign w:val="bottom"/>
            <w:gridSpan w:val="2"/>
          </w:tcPr>
          <w:p>
            <w:pPr>
              <w:spacing w:after="0"/>
              <w:rPr>
                <w:sz w:val="20"/>
                <w:szCs w:val="20"/>
                <w:color w:val="auto"/>
              </w:rPr>
            </w:pPr>
            <w:r>
              <w:rPr>
                <w:rFonts w:ascii="Arial" w:cs="Arial" w:eastAsia="Arial" w:hAnsi="Arial"/>
                <w:sz w:val="18"/>
                <w:szCs w:val="18"/>
                <w:color w:val="auto"/>
              </w:rPr>
              <w:t>(b)   Pro forma adjusted net tangible book value per share: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80" w:type="dxa"/>
            <w:vAlign w:val="bottom"/>
            <w:gridSpan w:val="2"/>
          </w:tcPr>
          <w:p>
            <w:pPr>
              <w:ind w:left="8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Pro Forma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Goodwill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ind w:left="360"/>
              <w:spacing w:after="0"/>
              <w:rPr>
                <w:sz w:val="20"/>
                <w:szCs w:val="20"/>
                <w:color w:val="auto"/>
              </w:rPr>
            </w:pPr>
            <w:r>
              <w:rPr>
                <w:rFonts w:ascii="Arial" w:cs="Arial" w:eastAsia="Arial" w:hAnsi="Arial"/>
                <w:sz w:val="18"/>
                <w:szCs w:val="18"/>
                <w:color w:val="auto"/>
              </w:rPr>
              <w:t>Deferred financing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Liabilities (excluding current and 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term loan and revolving credit facility (excluding debt issuance costs and unamortized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9080" w:type="dxa"/>
            <w:vAlign w:val="bottom"/>
            <w:gridSpan w:val="2"/>
          </w:tcPr>
          <w:p>
            <w:pPr>
              <w:ind w:left="840"/>
              <w:spacing w:after="0"/>
              <w:rPr>
                <w:sz w:val="20"/>
                <w:szCs w:val="20"/>
                <w:color w:val="auto"/>
              </w:rPr>
            </w:pPr>
            <w:r>
              <w:rPr>
                <w:rFonts w:ascii="Arial" w:cs="Arial" w:eastAsia="Arial" w:hAnsi="Arial"/>
                <w:sz w:val="18"/>
                <w:szCs w:val="18"/>
                <w:color w:val="auto"/>
              </w:rPr>
              <w:t>Total Pro Forma Liabilities (excluding debt issuance costs and unamortized discount)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tangible book value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Class A common stock</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131,759,894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tangible book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365"/>
        </w:trPr>
        <w:tc>
          <w:tcPr>
            <w:tcW w:w="9080" w:type="dxa"/>
            <w:vAlign w:val="bottom"/>
            <w:gridSpan w:val="2"/>
          </w:tcPr>
          <w:p>
            <w:pPr>
              <w:ind w:left="54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459" w:right="8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SELECTED HISTORICAL CONDENSED COMBINED FINANCIAL AND OTHER INFORMATION</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following tables set forth certain selected historical condensed combined financial data for Post’s Active Nutrition business as of September 30, 2018 and 2017 and for each of the fiscal years in the three-year period ended September 30, 2018 and as of June 30, 2019 and for the nine months ended June 30, 2019 and 2018. The Active Nutrition business of Post is the predecessor of BellRing Brands Inc. for financial reporting purposes. The selected historical financial data set forth below should be read in conjunction with: (i) the sections entitled “Use of Proceeds,” “Capitalization” and “Unaudited Pro Forma Condensed Consolidated Financial Information,” (ii) Post’s Active Nutrition business’s audited combined financial statements and the notes thereto as of and for the three fiscal years ended September 30, 2018, (iii) Post’s Active Nutrition business’s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selected historical condensed combined financial data as of September 30, 2018 and 2017 and as of each of the fiscal years in the three-year period ended September 30, 2018 have been derived from the audited combined financial statements of Post’s Active Nutrition business. The selected unaudited historical condensed combined financial data as of June 30, 2019 and for the nine months ended June 30, 2019 and 2018 have been derived from Post’s Active Nutrition business’s unaudited condensed combined financial statements, and include, in the opinion of management, all adjustments, consisting of only normal, recurring adjustments, necessary for a fair statement of such information. The financial data presented for the interim periods is not necessarily indicative of the results for the full fiscal year.</w:t>
      </w:r>
    </w:p>
    <w:p>
      <w:pPr>
        <w:spacing w:after="0" w:line="178"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selected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Active Nutrition</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6"/>
          </w:tcPr>
          <w:p>
            <w:pPr>
              <w:jc w:val="right"/>
              <w:ind w:right="158"/>
              <w:spacing w:after="0" w:line="119" w:lineRule="exact"/>
              <w:rPr>
                <w:sz w:val="20"/>
                <w:szCs w:val="20"/>
                <w:color w:val="auto"/>
              </w:rPr>
            </w:pPr>
            <w:r>
              <w:rPr>
                <w:rFonts w:ascii="Arial" w:cs="Arial" w:eastAsia="Arial" w:hAnsi="Arial"/>
                <w:sz w:val="13"/>
                <w:szCs w:val="13"/>
                <w:b w:val="1"/>
                <w:bCs w:val="1"/>
                <w:color w:val="auto"/>
              </w:rPr>
              <w:t>Nine Months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639.9</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607.6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22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left="32"/>
              <w:spacing w:after="0"/>
              <w:rPr>
                <w:sz w:val="20"/>
                <w:szCs w:val="20"/>
                <w:color w:val="auto"/>
              </w:rPr>
            </w:pPr>
            <w:r>
              <w:rPr>
                <w:rFonts w:ascii="Arial" w:cs="Arial" w:eastAsia="Arial" w:hAnsi="Arial"/>
                <w:sz w:val="14"/>
                <w:szCs w:val="14"/>
                <w:b w:val="1"/>
                <w:bCs w:val="1"/>
                <w:color w:val="auto"/>
                <w:w w:val="95"/>
              </w:rPr>
              <w:t>Active Nutrition</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3"/>
            <w:vMerge w:val="restart"/>
          </w:tcPr>
          <w:p>
            <w:pPr>
              <w:jc w:val="center"/>
              <w:ind w:left="253"/>
              <w:spacing w:after="0" w:line="14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6"/>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3"/>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left="133"/>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597.6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491.0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7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QUARTERLY FINANCIAL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Active Nutrition</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Fiscal 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Fiscal 2018</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80" w:type="dxa"/>
            <w:vAlign w:val="bottom"/>
          </w:tcPr>
          <w:p>
            <w:pPr>
              <w:spacing w:after="0"/>
              <w:rPr>
                <w:sz w:val="10"/>
                <w:szCs w:val="10"/>
                <w:color w:val="auto"/>
              </w:rPr>
            </w:pPr>
          </w:p>
        </w:tc>
        <w:tc>
          <w:tcPr>
            <w:tcW w:w="6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3"/>
              </w:rPr>
              <w:t>Second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Fourth</w:t>
            </w:r>
          </w:p>
        </w:tc>
        <w:tc>
          <w:tcPr>
            <w:tcW w:w="2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6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Second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w w:val="99"/>
              </w:rPr>
              <w:t>First</w:t>
            </w:r>
          </w:p>
        </w:tc>
        <w:tc>
          <w:tcPr>
            <w:tcW w:w="120" w:type="dxa"/>
            <w:vAlign w:val="bottom"/>
          </w:tcPr>
          <w:p>
            <w:pPr>
              <w:spacing w:after="0"/>
              <w:rPr>
                <w:sz w:val="10"/>
                <w:szCs w:val="10"/>
                <w:color w:val="auto"/>
              </w:rPr>
            </w:pPr>
          </w:p>
        </w:tc>
      </w:tr>
      <w:tr>
        <w:trPr>
          <w:trHeight w:val="171"/>
        </w:trPr>
        <w:tc>
          <w:tcPr>
            <w:tcW w:w="4460" w:type="dxa"/>
            <w:vAlign w:val="bottom"/>
            <w:gridSpan w:val="3"/>
          </w:tcPr>
          <w:p>
            <w:pPr>
              <w:spacing w:after="0"/>
              <w:rPr>
                <w:sz w:val="20"/>
                <w:szCs w:val="20"/>
                <w:color w:val="auto"/>
              </w:rPr>
            </w:pPr>
            <w:r>
              <w:rPr>
                <w:rFonts w:ascii="Arial" w:cs="Arial" w:eastAsia="Arial" w:hAnsi="Arial"/>
                <w:sz w:val="14"/>
                <w:szCs w:val="14"/>
                <w:i w:val="1"/>
                <w:iCs w:val="1"/>
                <w:color w:val="auto"/>
              </w:rPr>
              <w:t>($ in millions)</w:t>
            </w:r>
          </w:p>
        </w:tc>
        <w:tc>
          <w:tcPr>
            <w:tcW w:w="1760" w:type="dxa"/>
            <w:vAlign w:val="bottom"/>
            <w:gridSpan w:val="3"/>
          </w:tcPr>
          <w:p>
            <w:pPr>
              <w:ind w:left="1240"/>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8"/>
              </w:rPr>
              <w:t>Quarter</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Quarter</w:t>
            </w:r>
          </w:p>
        </w:tc>
        <w:tc>
          <w:tcPr>
            <w:tcW w:w="900" w:type="dxa"/>
            <w:vAlign w:val="bottom"/>
            <w:gridSpan w:val="4"/>
          </w:tcPr>
          <w:p>
            <w:pPr>
              <w:ind w:left="26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237.6</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216.4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147.1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140.2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140.8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color w:val="auto"/>
              </w:rPr>
              <w:t>Earnings before income taxes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Net Earnings</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Provision for legal settlement</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(1)</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620" w:right="960" w:hanging="5416"/>
        <w:spacing w:after="0" w:line="44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the definition and explanation of usefulness of Adjusted EBITDA. 69</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EXPLANATION AND RECONCILIATION OF NON-GAAP MEASURES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use certain non-GAAP measures in this prospectus to supplement the financial measures prepared in accordance with GAAP. These non-GAAP measures include Adjusted net earnings and Adjusted EBITDA. The reconciliation of each of these non-GAAP measures to the most directly comparable GAAP measure for Post’s Active Nutrition business is provided in the table following this section. Post’s Active Nutrition business is the predecessor of BellRing Brands Inc. for financial reporting purposes. Non-GAAP measures are not prepared in accordance with GAAP, as they exclude certain items as described below. These non-GAAP measures may not be comparable to similarly titled measures of other companies. See also “Non-GAAP Financial Measures.”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net earnings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Adjusted net earnings is useful to potential investors in evaluating our operating performance because it excludes items that affect the comparability of our financial results and could potentially distort an understanding of the trends in business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131" w:lineRule="exact"/>
        <w:rPr>
          <w:sz w:val="20"/>
          <w:szCs w:val="20"/>
          <w:color w:val="auto"/>
        </w:rPr>
      </w:pPr>
    </w:p>
    <w:p>
      <w:pPr>
        <w:ind w:left="1060" w:right="80" w:hanging="333"/>
        <w:spacing w:after="0" w:line="312"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We have excluded expenses for impairments of goodwill as such non-cash amounts are inconsistent in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we believe that these costs do not reflect expected ongoing future operating expenses and do not contribute to a meaningful evaluation of our current operating performance or comparisons of our operating performance to other periods.</w:t>
      </w:r>
    </w:p>
    <w:p>
      <w:pPr>
        <w:spacing w:after="0" w:line="52" w:lineRule="exact"/>
        <w:rPr>
          <w:rFonts w:ascii="Arial" w:cs="Arial" w:eastAsia="Arial" w:hAnsi="Arial"/>
          <w:sz w:val="16"/>
          <w:szCs w:val="16"/>
          <w:color w:val="auto"/>
        </w:rPr>
      </w:pPr>
    </w:p>
    <w:p>
      <w:pPr>
        <w:ind w:left="1060" w:right="60" w:hanging="343"/>
        <w:spacing w:after="0" w:line="259"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Restructuring and plant closure costs</w:t>
      </w:r>
      <w:r>
        <w:rPr>
          <w:rFonts w:ascii="Arial" w:cs="Arial" w:eastAsia="Arial" w:hAnsi="Arial"/>
          <w:sz w:val="18"/>
          <w:szCs w:val="18"/>
          <w:color w:val="auto"/>
        </w:rPr>
        <w:t>: We have excluded certain costs associated with facility closures as the amount and frequency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hanging="333"/>
        <w:spacing w:after="0" w:line="259"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We have excluded certain expenses incurred to effect our separation from Post and to support our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right="20" w:hanging="343"/>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Provision for legal settlement</w:t>
      </w:r>
      <w:r>
        <w:rPr>
          <w:rFonts w:ascii="Arial" w:cs="Arial" w:eastAsia="Arial" w:hAnsi="Arial"/>
          <w:sz w:val="18"/>
          <w:szCs w:val="18"/>
          <w:color w:val="auto"/>
        </w:rPr>
        <w:t>: We have excluded losses recorded to recognize the anticipated or actual resolution of certain litigation as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such losses do not reflect expected ongoing future operating expense and do not contribute to a meaningful evaluation of our current operating performance or comparisons of our operating performance to other periods.</w:t>
      </w:r>
    </w:p>
    <w:p>
      <w:pPr>
        <w:spacing w:after="0" w:line="86" w:lineRule="exact"/>
        <w:rPr>
          <w:rFonts w:ascii="Arial" w:cs="Arial" w:eastAsia="Arial" w:hAnsi="Arial"/>
          <w:sz w:val="18"/>
          <w:szCs w:val="18"/>
          <w:color w:val="auto"/>
        </w:rPr>
      </w:pPr>
    </w:p>
    <w:p>
      <w:pPr>
        <w:ind w:left="1060" w:right="160" w:hanging="333"/>
        <w:spacing w:after="0" w:line="302"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We have excluded adjustments recorded to adjust the carrying value of facilities and other assets classified as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as such adjustments represent non-cash items and the amount and frequency of such adjustments are not consistent. Additionally, we believe that these adjustments do not reflect expected ongoing future operating expenses or income and do not contribute to a meaningful evaluation of our current operating performance or comparisons of our operating performance to other periods.</w:t>
      </w:r>
    </w:p>
    <w:p>
      <w:pPr>
        <w:spacing w:after="0" w:line="59" w:lineRule="exact"/>
        <w:rPr>
          <w:rFonts w:ascii="Arial" w:cs="Arial" w:eastAsia="Arial" w:hAnsi="Arial"/>
          <w:sz w:val="16"/>
          <w:szCs w:val="16"/>
          <w:color w:val="auto"/>
        </w:rPr>
      </w:pPr>
    </w:p>
    <w:p>
      <w:pPr>
        <w:ind w:left="1060" w:right="560" w:hanging="313"/>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We have included the income tax impact of the non-GAAP adjustments using a rate described in the footnote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tables below, as we believe that our GAAP effective income tax rate as reported is not representative of the income tax expense impact of the adjustments.</w:t>
      </w:r>
    </w:p>
    <w:p>
      <w:pPr>
        <w:spacing w:after="0" w:line="86" w:lineRule="exact"/>
        <w:rPr>
          <w:rFonts w:ascii="Arial" w:cs="Arial" w:eastAsia="Arial" w:hAnsi="Arial"/>
          <w:sz w:val="18"/>
          <w:szCs w:val="18"/>
          <w:color w:val="auto"/>
        </w:rPr>
      </w:pPr>
    </w:p>
    <w:p>
      <w:pPr>
        <w:ind w:left="1060" w:right="80" w:hanging="343"/>
        <w:spacing w:after="0" w:line="312"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We have excluded the impact of the one-time income tax net benefit recorded in the first fiscal quarter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reflected (i) the benefit related to an estimate of the remeasurement of our existing deferred tax assets and liabilities considering both our fiscal 2018 blended U.S. federal corporate income tax rate of 24.5% and a 21% rate for subsequent fiscal years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firstLine="2"/>
        <w:spacing w:after="0" w:line="264" w:lineRule="auto"/>
        <w:tabs>
          <w:tab w:leader="none" w:pos="13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expense related to an estimate of a transition tax on unrepatriated foreign earnings. We believe that the net benefit as reported is not representative of our current income tax position and exclusion of the benefit allows for more meaningful comparisons of our operating performance to other periods.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believe that Adjusted EBITDA is useful to potential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Management anticipates that it will use Adjusted EBITDA to provide forward-looking guidance and to forecast future results.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Adjusted EBITDA reflects adjustments for income tax expense (benefit), depreciation and amortization and the following adjustments discussed above: impairment of goodwill, restructuring and plant closure costs, separation costs, provision for legal settlement and assets held for sale. Additionally, Adjusted EBITDA reflects adjustments for the following item:</w:t>
      </w:r>
    </w:p>
    <w:p>
      <w:pPr>
        <w:spacing w:after="0" w:line="87" w:lineRule="exact"/>
        <w:rPr>
          <w:sz w:val="20"/>
          <w:szCs w:val="20"/>
          <w:color w:val="auto"/>
        </w:rPr>
      </w:pPr>
    </w:p>
    <w:p>
      <w:pPr>
        <w:ind w:left="1060" w:right="60" w:hanging="343"/>
        <w:spacing w:after="0" w:line="276"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Non-cash stock-based compensation</w:t>
      </w:r>
      <w:r>
        <w:rPr>
          <w:rFonts w:ascii="Arial" w:cs="Arial" w:eastAsia="Arial" w:hAnsi="Arial"/>
          <w:sz w:val="17"/>
          <w:szCs w:val="17"/>
          <w:color w:val="auto"/>
        </w:rPr>
        <w:t>: Our compensation strategy has included the use of Post stock-based compensation to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and employees by aligning their long-term compensation interests with Post’s shareholders’ investment interests. We have excluded non-cash stock-based compensation because it can vary significantly based on reasons such as the timing, size and nature of the awards granted and subjective assumptions which are unrelated to operational decisions and performance in any particular period and do not contribute to meaningful comparisons of our operating performance to other periods.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Active Nutrition</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6"/>
          </w:tcPr>
          <w:p>
            <w:pPr>
              <w:jc w:val="center"/>
              <w:ind w:right="240"/>
              <w:spacing w:after="0" w:line="119" w:lineRule="exact"/>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ind w:left="253"/>
              <w:spacing w:after="0" w:line="149"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253"/>
              <w:spacing w:after="0"/>
              <w:rPr>
                <w:sz w:val="20"/>
                <w:szCs w:val="20"/>
                <w:color w:val="auto"/>
              </w:rPr>
            </w:pPr>
            <w:r>
              <w:rPr>
                <w:rFonts w:ascii="Arial" w:cs="Arial" w:eastAsia="Arial" w:hAnsi="Arial"/>
                <w:sz w:val="14"/>
                <w:szCs w:val="14"/>
                <w:b w:val="1"/>
                <w:bCs w:val="1"/>
                <w:color w:val="auto"/>
                <w:w w:val="94"/>
              </w:rPr>
              <w:t>(unaudited)</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Separation costs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Provision for legal settlement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Net Adjustments</w:t>
            </w:r>
          </w:p>
        </w:tc>
        <w:tc>
          <w:tcPr>
            <w:tcW w:w="2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U.S. tax reform net benefit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4"/>
                <w:szCs w:val="24"/>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Separation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legal settlement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Assets held for sale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91"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the nine months ended June 30, 2019, income tax effect on adjustments was calculated using a rate of 23.8%, the sum of the Company’s fiscal 2019 U.S. federal corporate income tax rate plus its blended state income tax rate net of federal deductions. For the nine months ended June 30, 2018 and the year ended September 30, 2018, income tax effect on adjustments was calculated using a rate of 27.2%, the sum of the Company’s fiscal 2018 blended U.S. federal corporate income tax rate plus its blended state income tax rate. For the year ended September 30, 2017, income tax effect on adjustments was calculated using a rate of 37.7%, the sum of the Company’s fiscal 2017 U.S. federal corporate income tax rate plus its blended state income tax rate. For the year ended September 30, 2016, income tax effect on adjustments was calculated using a rate of 37.3%, the sum of the Company’s fiscal 2016 U.S. federal corporate income tax rate plus its blended state income tax rate.</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following unaudited pro forma condensed consolidated balance sheet and statements of operations have been prepared to reflect (i) the formation transactions described in “Prospectus Summary—Formation Transactions,” including the issuance of one share of our Class B common stock and 97,474,180 BellRing Brands, LLC Units to Post; (ii) the sale of 34,285,714 shares of our Class A common stock in this offering, assuming no exercise by the underwriters of their over-allotment option to purchase additional shares of our Class A common stock; and (iii) the entry of BellRing Brands, LLC into the debt facilities, its borrowing under the term loan facility and the revolving credit facility and the application of the net proceeds of this offering and the debt facilities to repay the remaining balance of the Post bridge loan and all interest thereunder and for the other purposes described under “Use of Proceeds.” The unaudited pro forma condensed consolidated balance sheet at June 30, 2019 is presented as if each of these events had occurred at June 30, 2019. The unaudited pro forma condensed consolidated statements of operations for the year ended September 30, 2018 and the nine months ended June 30, 2019 are presented as if each of these events had occurred on October 1, 2017.</w:t>
      </w:r>
    </w:p>
    <w:p>
      <w:pPr>
        <w:spacing w:after="0" w:line="16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June 30, 2019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described under “Certain Relationships and Related Party Transactions—Post-Offering Relationship with Post—Tax Receivable Agreement,” upon the completion of the formation transactions, BellRing Brands, Inc.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Post has advised us that, except under the circumstances described under “Use of Proceeds,” it has no definitive plans to exit its interests in BellRing Brands, Inc. or BellRing Brands, LLC, and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6" w:lineRule="auto"/>
        <w:rPr>
          <w:sz w:val="20"/>
          <w:szCs w:val="20"/>
          <w:color w:val="auto"/>
        </w:rPr>
      </w:pPr>
      <w:r>
        <w:rPr>
          <w:rFonts w:ascii="Arial" w:cs="Arial" w:eastAsia="Arial" w:hAnsi="Arial"/>
          <w:sz w:val="16"/>
          <w:szCs w:val="16"/>
          <w:color w:val="auto"/>
        </w:rPr>
        <w:t>Brands, LLC).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However, if Post (and its transferees and assignees) redeemed all of its BellRing Brands, LLC Units, we would recognize a deferred tax asset of approximately $724.8 million and a liability of approximately $616.1 million, assuming</w:t>
      </w:r>
    </w:p>
    <w:p>
      <w:pPr>
        <w:spacing w:after="0" w:line="2" w:lineRule="exact"/>
        <w:rPr>
          <w:sz w:val="20"/>
          <w:szCs w:val="20"/>
          <w:color w:val="auto"/>
        </w:rPr>
      </w:pPr>
    </w:p>
    <w:p>
      <w:pPr>
        <w:ind w:left="200" w:right="20" w:firstLine="4"/>
        <w:spacing w:after="0" w:line="269" w:lineRule="auto"/>
        <w:tabs>
          <w:tab w:leader="none" w:pos="4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redemptions occurred immediately after this offering; (ii) a price of $14.00 per share; (iii) a constant corporate tax rate of 25.0%; (iv) we will have sufficient taxable income to fully utilize the tax benefits; and (v) no material changes in tax law. For each 5% increase (decrease) in the amount of BellRing Brands, LLC Units redeemed by Post (and its transferees and assignees), our deferred tax asset would increase (decrease) by approximately $36.2 million and the related liability would increase (decrease) by approximately $30.8 million, assuming that the price per share and corporate tax rate remain the same. These amounts are estimates and have been prepared for informational purposes only. The actual amount of deferred tax assets and related liabilities that we will recognize will differ based on, among other things, the timing of the redemptions, the price of our shares of Class A common stock at the time of the redemption and the tax rates then in effect.</w:t>
      </w:r>
    </w:p>
    <w:p>
      <w:pPr>
        <w:spacing w:after="0" w:line="18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(which would not include a distribution by Post of its beneficial retained interest in BellRing Brands, LLC by means of a spin-off to its shareholders),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The present value of such tax benefit payments are discounted at a rate equal to the lesser of (i)</w:t>
      </w:r>
    </w:p>
    <w:p>
      <w:pPr>
        <w:spacing w:after="0" w:line="1"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color w:val="auto"/>
        </w:rPr>
        <w:t>6.50% per annum, compounded annually and (ii) LIBOR plus 300 basis points. If we were to elect to terminate the tax receivable agreement immediately after this offering, based on the initial public offering price of $14.00 per share of our Class A common stock, we estimate that we would be required to pay approximately $472.3 million in the aggregate under the tax receivable agreement. This amount is an estimate and has been prepared for informational purposes only. The actual amount will differ based on, among other things, the price of our shares of Class A common stock at the time of any such termination and the tax rates then in effect.</w:t>
      </w:r>
    </w:p>
    <w:p>
      <w:pPr>
        <w:spacing w:after="0" w:line="19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Following this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condensed consolidated financial statements and the notes thereto should be read together with the following:</w:t>
      </w:r>
    </w:p>
    <w:p>
      <w:pPr>
        <w:spacing w:after="0" w:line="142" w:lineRule="exact"/>
        <w:rPr>
          <w:sz w:val="20"/>
          <w:szCs w:val="20"/>
          <w:color w:val="auto"/>
        </w:rPr>
      </w:pPr>
    </w:p>
    <w:p>
      <w:pPr>
        <w:ind w:left="1180" w:right="280" w:hanging="419"/>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audited combined financial statements and the notes thereto of Post’s Active Nutrition business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1180" w:right="140" w:hanging="430"/>
        <w:spacing w:after="0" w:line="308"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unaudited condensed combined financial statements and the notes thereto of Post’s Active Nutrition business as of June 30, 2019 and September 30, 2018 and for the nine months ended June 30, 2019 and 2018 included in this prospectus; and</w:t>
      </w:r>
    </w:p>
    <w:p>
      <w:pPr>
        <w:spacing w:after="0" w:line="51" w:lineRule="exact"/>
        <w:rPr>
          <w:rFonts w:ascii="Arial" w:cs="Arial" w:eastAsia="Arial" w:hAnsi="Arial"/>
          <w:sz w:val="17"/>
          <w:szCs w:val="17"/>
          <w:color w:val="auto"/>
        </w:rPr>
      </w:pPr>
    </w:p>
    <w:p>
      <w:pPr>
        <w:ind w:left="1180" w:hanging="419"/>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Active Nutrition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52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Historical</w:t>
            </w: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2.3</w:t>
            </w:r>
            <w:r>
              <w:rPr>
                <w:rFonts w:ascii="Arial" w:cs="Arial" w:eastAsia="Arial" w:hAnsi="Arial"/>
                <w:sz w:val="15"/>
                <w:szCs w:val="15"/>
                <w:color w:val="auto"/>
              </w:rPr>
              <w:t>(b)(c)(d)(g)</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Prepaids and other current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2.0</w:t>
            </w:r>
            <w:r>
              <w:rPr>
                <w:rFonts w:ascii="Arial" w:cs="Arial" w:eastAsia="Arial" w:hAnsi="Arial"/>
                <w:sz w:val="15"/>
                <w:szCs w:val="15"/>
                <w:color w:val="auto"/>
              </w:rPr>
              <w:t>(b)</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35.0</w:t>
            </w:r>
            <w:r>
              <w:rPr>
                <w:rFonts w:ascii="Arial" w:cs="Arial" w:eastAsia="Arial" w:hAnsi="Arial"/>
                <w:sz w:val="15"/>
                <w:szCs w:val="15"/>
                <w:color w:val="auto"/>
              </w:rPr>
              <w:t>(b)</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8.0</w:t>
            </w:r>
            <w:r>
              <w:rPr>
                <w:rFonts w:ascii="Arial" w:cs="Arial" w:eastAsia="Arial" w:hAnsi="Arial"/>
                <w:sz w:val="15"/>
                <w:szCs w:val="15"/>
                <w:color w:val="auto"/>
              </w:rPr>
              <w:t>(d)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743.9</w:t>
            </w: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rPr>
              <w:t>0.7</w:t>
            </w:r>
            <w:r>
              <w:rPr>
                <w:rFonts w:ascii="Arial" w:cs="Arial" w:eastAsia="Arial" w:hAnsi="Arial"/>
                <w:sz w:val="15"/>
                <w:szCs w:val="15"/>
                <w:color w:val="auto"/>
              </w:rPr>
              <w:t>(e)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12.5</w:t>
            </w:r>
            <w:r>
              <w:rPr>
                <w:rFonts w:ascii="Arial" w:cs="Arial" w:eastAsia="Arial" w:hAnsi="Arial"/>
                <w:sz w:val="15"/>
                <w:szCs w:val="15"/>
                <w:color w:val="auto"/>
              </w:rPr>
              <w:t>(f)</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800.1</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8"/>
                <w:szCs w:val="18"/>
                <w:color w:val="auto"/>
              </w:rPr>
              <w:t>1,364.6</w:t>
            </w:r>
            <w:r>
              <w:rPr>
                <w:rFonts w:ascii="Arial" w:cs="Arial" w:eastAsia="Arial" w:hAnsi="Arial"/>
                <w:sz w:val="15"/>
                <w:szCs w:val="15"/>
                <w:color w:val="auto"/>
              </w:rPr>
              <w:t>(a)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Class A, par value $0.01 per share; actual: No shares authorized,</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issued and outstanding as of June 30, 2019; as adjusted: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500,000,000 shares authorized, 34,285,714 shares issued and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0.3</w:t>
            </w:r>
            <w:r>
              <w:rPr>
                <w:rFonts w:ascii="Arial" w:cs="Arial" w:eastAsia="Arial" w:hAnsi="Arial"/>
                <w:sz w:val="15"/>
                <w:szCs w:val="15"/>
                <w:color w:val="auto"/>
              </w:rPr>
              <w:t>(a)(c)</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700"/>
              <w:spacing w:after="0" w:line="201" w:lineRule="exact"/>
              <w:rPr>
                <w:sz w:val="20"/>
                <w:szCs w:val="20"/>
                <w:color w:val="auto"/>
              </w:rPr>
            </w:pPr>
            <w:r>
              <w:rPr>
                <w:rFonts w:ascii="Arial" w:cs="Arial" w:eastAsia="Arial" w:hAnsi="Arial"/>
                <w:sz w:val="18"/>
                <w:szCs w:val="18"/>
                <w:color w:val="auto"/>
                <w:w w:val="95"/>
              </w:rPr>
              <w:t>Class B, par value $0.01 per share; actual: No shares authorized,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80"/>
              <w:spacing w:after="0"/>
              <w:rPr>
                <w:sz w:val="20"/>
                <w:szCs w:val="20"/>
                <w:color w:val="auto"/>
              </w:rPr>
            </w:pPr>
            <w:r>
              <w:rPr>
                <w:rFonts w:ascii="Arial" w:cs="Arial" w:eastAsia="Arial" w:hAnsi="Arial"/>
                <w:sz w:val="18"/>
                <w:szCs w:val="18"/>
                <w:color w:val="auto"/>
                <w:w w:val="98"/>
              </w:rPr>
              <w:t>issued and outstanding as of June 30, 2019; as adjusted: one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880"/>
              <w:spacing w:after="0"/>
              <w:rPr>
                <w:sz w:val="20"/>
                <w:szCs w:val="20"/>
                <w:color w:val="auto"/>
              </w:rPr>
            </w:pPr>
            <w:r>
              <w:rPr>
                <w:rFonts w:ascii="Arial" w:cs="Arial" w:eastAsia="Arial" w:hAnsi="Arial"/>
                <w:sz w:val="18"/>
                <w:szCs w:val="18"/>
                <w:color w:val="auto"/>
              </w:rPr>
              <w:t>share authorized, issued and outstanding</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par value $0.01 per share; 50,000,000 shares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authorized, no shares issued and outstanding actual and pro forma</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(492.8)</w:t>
            </w: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(1,667.9)</w:t>
            </w:r>
            <w:r>
              <w:rPr>
                <w:rFonts w:ascii="Arial" w:cs="Arial" w:eastAsia="Arial" w:hAnsi="Arial"/>
                <w:sz w:val="15"/>
                <w:szCs w:val="15"/>
                <w:color w:val="auto"/>
              </w:rPr>
              <w:t>(b)(c)(d)(f)</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(2,160.4)</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NINE MONTHS ENDED JUNE 30,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 except per share data)</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6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w w:val="93"/>
              </w:rPr>
              <w:t>Active Nutrition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7"/>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Historical</w:t>
            </w:r>
          </w:p>
        </w:tc>
        <w:tc>
          <w:tcPr>
            <w:tcW w:w="2200" w:type="dxa"/>
            <w:vAlign w:val="bottom"/>
            <w:gridSpan w:val="4"/>
          </w:tcPr>
          <w:p>
            <w:pPr>
              <w:ind w:left="7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r>
              <w:rPr>
                <w:rFonts w:ascii="Arial" w:cs="Arial" w:eastAsia="Arial" w:hAnsi="Arial"/>
                <w:sz w:val="15"/>
                <w:szCs w:val="15"/>
                <w:color w:val="auto"/>
              </w:rPr>
              <w:t>(h)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w:t>
            </w: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w:t>
            </w: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63.8(a)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8"/>
              </w:rPr>
              <w:t>0.50</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8"/>
              </w:rPr>
              <w:t>0.50</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SEPTEMBER 30,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 except per share data)</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8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w w:val="95"/>
              </w:rPr>
              <w:t>Active Nutrition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7"/>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b w:val="1"/>
                <w:bCs w:val="1"/>
                <w:color w:val="auto"/>
              </w:rPr>
              <w:t>Historical</w:t>
            </w:r>
          </w:p>
        </w:tc>
        <w:tc>
          <w:tcPr>
            <w:tcW w:w="2200" w:type="dxa"/>
            <w:vAlign w:val="bottom"/>
            <w:gridSpan w:val="4"/>
          </w:tcPr>
          <w:p>
            <w:pPr>
              <w:ind w:left="7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59.0</w:t>
            </w:r>
            <w:r>
              <w:rPr>
                <w:rFonts w:ascii="Arial" w:cs="Arial" w:eastAsia="Arial" w:hAnsi="Arial"/>
                <w:sz w:val="15"/>
                <w:szCs w:val="15"/>
                <w:color w:val="auto"/>
                <w:w w:val="93"/>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4"/>
              </w:rPr>
              <w:t>(21.7)</w:t>
            </w:r>
            <w:r>
              <w:rPr>
                <w:rFonts w:ascii="Arial" w:cs="Arial" w:eastAsia="Arial" w:hAnsi="Arial"/>
                <w:sz w:val="15"/>
                <w:szCs w:val="15"/>
                <w:color w:val="auto"/>
                <w:w w:val="94"/>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3"/>
              </w:rPr>
              <w:t>45.0</w:t>
            </w:r>
            <w:r>
              <w:rPr>
                <w:rFonts w:ascii="Arial" w:cs="Arial" w:eastAsia="Arial" w:hAnsi="Arial"/>
                <w:sz w:val="15"/>
                <w:szCs w:val="15"/>
                <w:color w:val="auto"/>
                <w:w w:val="93"/>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Net Earnings attributable to BellRing Brands, Inc.</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8"/>
              </w:rPr>
              <w:t>0.40</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8"/>
              </w:rPr>
              <w:t>0.40</w:t>
            </w:r>
            <w:r>
              <w:rPr>
                <w:rFonts w:ascii="Arial" w:cs="Arial" w:eastAsia="Arial" w:hAnsi="Arial"/>
                <w:sz w:val="15"/>
                <w:szCs w:val="15"/>
                <w:color w:val="auto"/>
                <w:w w:val="98"/>
              </w:rPr>
              <w:t>(c)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 Forma Adjustments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for so long as Post or its affiliates (other than us) directly own more than 50% of the BellRing Brands, LLC Units as described in this prospectus, will have a number of votes equal to 67% of the combined voting power of the common stock of BellRing Brands, Inc.</w:t>
      </w:r>
    </w:p>
    <w:p>
      <w:pPr>
        <w:spacing w:after="0" w:line="189"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2" w:lineRule="exact"/>
        <w:rPr>
          <w:sz w:val="20"/>
          <w:szCs w:val="20"/>
          <w:color w:val="auto"/>
        </w:rPr>
      </w:pPr>
    </w:p>
    <w:p>
      <w:pPr>
        <w:ind w:left="1180" w:hanging="544"/>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entities currently comprising Post’s Active Nutrition business will become direct or indirect subsidiaries of BellRing Brands, LLC.</w:t>
      </w:r>
    </w:p>
    <w:p>
      <w:pPr>
        <w:spacing w:after="0" w:line="142" w:lineRule="exact"/>
        <w:rPr>
          <w:rFonts w:ascii="Arial" w:cs="Arial" w:eastAsia="Arial" w:hAnsi="Arial"/>
          <w:sz w:val="17"/>
          <w:szCs w:val="17"/>
          <w:color w:val="auto"/>
        </w:rPr>
      </w:pPr>
    </w:p>
    <w:p>
      <w:pPr>
        <w:ind w:left="1180" w:right="320" w:hanging="544"/>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180" w:right="20" w:hanging="544"/>
        <w:spacing w:after="0" w:line="253"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Post will hold 97,474,180 BellRing Brands, LLC Units, which will represent 74.0% of the economic interest in BellRing Brands, LLC (or 71.2% if the underwriters exercise their over-allotment option in full), and one share of Class B common stock, which, for so long as Post or its affiliates (other than us) directly own more than 50% of the BellRing Brands, LLC Units as described in this prospectus, will represent 67% of the combined voting power of the common stock of BellRing Brands, Inc. Due to Post’s rights to redeem BellRing Brands, LLC Units for (i) shares of BellRing Brands, Inc. Class A common stock on a one-for-one basis or (ii) cash at BellRing Brands, LLC’s option (as determined by the BellRing Brands, LLC Board of Managers), the noncontrolling interest in BellRing Brands, LLC represented by these Units will be classified as temporary equity. The noncontrolling interest balance is determined based on the fair value of Post’s BellRing Brands, LLC Units if they were to be converted to shares of BellRing Brands, Inc. Class A common stock at $14.00 per share.</w:t>
      </w:r>
    </w:p>
    <w:p>
      <w:pPr>
        <w:spacing w:after="0" w:line="102" w:lineRule="exact"/>
        <w:rPr>
          <w:rFonts w:ascii="Arial" w:cs="Arial" w:eastAsia="Arial" w:hAnsi="Arial"/>
          <w:sz w:val="18"/>
          <w:szCs w:val="18"/>
          <w:color w:val="auto"/>
        </w:rPr>
      </w:pPr>
    </w:p>
    <w:p>
      <w:pPr>
        <w:ind w:left="1180" w:right="40" w:hanging="544"/>
        <w:spacing w:after="0" w:line="255"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purchasers in this offering (i) will own 34,285,714 shares of Class A common stock (or 39,428,571 shares if the underwriters exercise their non-allotment option in full), which, for so long as Post or its affiliates (other than us) directly own more than 50% of the BellRing Brands, LLC Units as described in this prospectus, will represent 33% of the combined voting power of the common stock of BellRing Brands, Inc. and 100% of the economic interest in BellRing Brands, Inc., and (ii) through BellRing Brands, Inc.’s ownership of BellRing Brands, LLC Units, indirectly will hold 26.0% of the economic interest in BellRing Brands, LLC (or 28.8% if the underwriters exercise their over-allotment option in full).</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hanging="544"/>
        <w:spacing w:after="0" w:line="259"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 BellRing Brands, Inc. and the number of BellRing Brands, LLC Units owned by BellRing Brands, Inc. See “Certain Relationships and Related Party Transactions—Post-Offering Relationship with Post—Amended and Restated Limited Liability Company Agreement.”</w:t>
      </w:r>
    </w:p>
    <w:p>
      <w:pPr>
        <w:spacing w:after="0" w:line="92" w:lineRule="exact"/>
        <w:rPr>
          <w:rFonts w:ascii="Arial" w:cs="Arial" w:eastAsia="Arial" w:hAnsi="Arial"/>
          <w:sz w:val="18"/>
          <w:szCs w:val="18"/>
          <w:color w:val="auto"/>
        </w:rPr>
      </w:pPr>
    </w:p>
    <w:p>
      <w:pPr>
        <w:ind w:left="1180" w:right="20" w:hanging="544"/>
        <w:spacing w:after="0" w:line="253"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For so long as Post or its affiliates (other than us) directly own more than 50% of the BellRing Brands, LLC Units as described in this prospectus, Post will control BellRing Brands, Inc. through its ownership of the Class B common stock of BellRing Brands, Inc.</w:t>
      </w:r>
    </w:p>
    <w:p>
      <w:pPr>
        <w:spacing w:after="0" w:line="100" w:lineRule="exact"/>
        <w:rPr>
          <w:rFonts w:ascii="Arial" w:cs="Arial" w:eastAsia="Arial" w:hAnsi="Arial"/>
          <w:sz w:val="18"/>
          <w:szCs w:val="18"/>
          <w:color w:val="auto"/>
        </w:rPr>
      </w:pPr>
    </w:p>
    <w:p>
      <w:pPr>
        <w:ind w:left="1180" w:right="420" w:hanging="544"/>
        <w:spacing w:after="0" w:line="286" w:lineRule="auto"/>
        <w:tabs>
          <w:tab w:leader="none" w:pos="1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74.0% of the earnings before income taxes (or 71.2% if the underwriters exercise their over-allotment option in full) will be allocated to the noncontrolling interest to reflect the entitlement of Post to a portion of the consolidated net earnings (loss).</w:t>
      </w:r>
    </w:p>
    <w:p>
      <w:pPr>
        <w:spacing w:after="0" w:line="273" w:lineRule="exact"/>
        <w:rPr>
          <w:rFonts w:ascii="Arial" w:cs="Arial" w:eastAsia="Arial" w:hAnsi="Arial"/>
          <w:sz w:val="17"/>
          <w:szCs w:val="17"/>
          <w:color w:val="auto"/>
        </w:rPr>
      </w:pPr>
    </w:p>
    <w:p>
      <w:pPr>
        <w:ind w:left="900" w:hanging="256"/>
        <w:spacing w:after="0"/>
        <w:tabs>
          <w:tab w:leader="none" w:pos="900" w:val="left"/>
        </w:tabs>
        <w:numPr>
          <w:ilvl w:val="1"/>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Post Bridge Loan and Senior Unsecured Debt Facilities</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Prior to completion of this offering, Post borrowed $1,225.0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guaranteed the Post bridge loan. On the same day this offering is completed, and as part of the formation transactions, (i) BellRing Brands, LLC will become the borrower under the Post bridge loan and assume all interest of $2.2 million thereunder, and Post and its subsidiary guarantors (which will not include BellRing Brands, LLC or its domestic subsidiaries) will be released from all obligations under the Post bridge loan and all interest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We will not receive any of the proceeds of the Post bridge loan. See “Description of Certain Indebtedness.”</w:t>
      </w:r>
    </w:p>
    <w:p>
      <w:pPr>
        <w:spacing w:after="0" w:line="16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Immediately after the completion of the formation transactions and the completion of this offering, BellRing Brands, LLC expects to enter into debt facilities consisting of a $200.0 million revolving credit facility and an approximately $700.0 million term loan facility, and use the proceeds of such borrowing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term loan facility and the revolving credit facility, we can provide no assurance that the Board of Managers will make such a determination. 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See “Description of Certain Indebtedness.”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24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1" w:lineRule="exact"/>
        <w:rPr>
          <w:sz w:val="20"/>
          <w:szCs w:val="20"/>
          <w:color w:val="auto"/>
        </w:rPr>
      </w:pPr>
    </w:p>
    <w:p>
      <w:pPr>
        <w:ind w:left="1180" w:right="320" w:hanging="544"/>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$100.0 million of borrowings under the revolving credit facility will be incurred concurrently with the completion of this offering at an assumed interest rate of 6.2%;</w:t>
      </w:r>
    </w:p>
    <w:p>
      <w:pPr>
        <w:spacing w:after="0" w:line="75"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the full amount available, $35.0 million of which is considered the current portion of long-term debt, under the term loan facility will be incurred concurrently with the completion of this offering at an assumed interest rate of 6.9%; and</w:t>
      </w:r>
    </w:p>
    <w:p>
      <w:pPr>
        <w:spacing w:after="0" w:line="75" w:lineRule="exact"/>
        <w:rPr>
          <w:rFonts w:ascii="Arial" w:cs="Arial" w:eastAsia="Arial" w:hAnsi="Arial"/>
          <w:sz w:val="18"/>
          <w:szCs w:val="18"/>
          <w:color w:val="auto"/>
        </w:rPr>
      </w:pPr>
    </w:p>
    <w:p>
      <w:pPr>
        <w:ind w:left="1180" w:hanging="544"/>
        <w:spacing w:after="0" w:line="259"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BellRing Brands, LLC will receive net proceeds from the borrowings of approximately $2.3 million, after deducting fees and expenses (including original issue discount with respect to the term loan facility) of $23.1 million ($2.0 million related to the revolving credit facility and $21.1 million related to the term loan facility), repayment of the remaining portion of the Post bridge loan and related interest and repayment of cash and cash equivalents. See footnote (g) below.</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final principal balance of the term loan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 nature of the changes, the impact on the pro forma financial information could be material. For example, each 0.125% increase or decrease in the stated interest rates assumed above for the debt facilities would increase or decrease pro forma interest expense by approximately $1.2 million for the fiscal year ended September 30, 2018 and approximately $0.9 million for the nine months ended June 30, 2019 (assuming the principal balance of the debt facilities does not change from that assumed above).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200" w:right="300" w:firstLine="441"/>
        <w:spacing w:after="0" w:line="288" w:lineRule="auto"/>
        <w:rPr>
          <w:sz w:val="20"/>
          <w:szCs w:val="20"/>
          <w:color w:val="auto"/>
        </w:rPr>
      </w:pPr>
      <w:r>
        <w:rPr>
          <w:rFonts w:ascii="Arial" w:cs="Arial" w:eastAsia="Arial" w:hAnsi="Arial"/>
          <w:sz w:val="16"/>
          <w:szCs w:val="16"/>
          <w:color w:val="auto"/>
        </w:rPr>
        <w:t>BellRing Brands, Inc. will issue 34,285,714 shares of Class A common stock in this offering (or 39,428,571 shares if the underwriters exercise their over-allotment in full). The unaudited pro forma consolidated basic and diluted earnings per share for the periods presented are based on the combined basic and diluted weighted-average shares outstanding to be issued by BellRing Brands, Inc. in this offering. The calculation</w:t>
      </w:r>
    </w:p>
    <w:p>
      <w:pPr>
        <w:ind w:left="200" w:right="180"/>
        <w:spacing w:after="0" w:line="292" w:lineRule="auto"/>
        <w:rPr>
          <w:sz w:val="20"/>
          <w:szCs w:val="20"/>
          <w:color w:val="auto"/>
        </w:rPr>
      </w:pPr>
      <w:r>
        <w:rPr>
          <w:rFonts w:ascii="Arial" w:cs="Arial" w:eastAsia="Arial" w:hAnsi="Arial"/>
          <w:sz w:val="16"/>
          <w:szCs w:val="16"/>
          <w:color w:val="auto"/>
        </w:rPr>
        <w:t>includes 34,285,714 shares of Class A common stock assumed to be sold in this offering. On the same day this offering is completed, but prior to the completion of this offering, BellRing Brands, Inc. will issue to Post (in exchange for the 1,000 shares of common stock initially issued to Post in connection with its incorporation, which shares will be cancelled as part of the exchange) one share of Class B common stock, which share of Class B common stock cannot be transferred by Post except to its affiliates (other than us). The share of BellRing Brands, Inc. Class B common stock does not share in its earnings and is therefore not included in the weighted average shares outstanding or net earnings available per common share.</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BellRing Brands, Inc. expects to receive net proceeds from this offering of approximately $448.0 million (or approximately $516.4 million if the underwriters exercise their over-allotment option in full), after deducting underwriting discounts and commissions and estimated offering expenses payable by us, which such amounts of net proceeds would be $456.0 million and $524.4 million, respectively, before giving effect to estimated offering expenses payable by us of approximately $8.0 million, which are reflected as a payable in other current liabilities.</w:t>
      </w:r>
    </w:p>
    <w:p>
      <w:pPr>
        <w:spacing w:after="0" w:line="171"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 and related interest.</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net cash proceeds of $2.3 million as used in footnote (g) below and elsewhere in this prospectus do not include estimated offering expenses of approximately $8.0 million payable by us. Under the master transaction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agreement, we are required to reimburse Post for all expenses of this offering previously paid by Post. In the event the underwriters do not exercise their over-allotment option for a number of shares that would result in additional net proceeds of approximately $8.0 million, then BellRing Brands, LLC will reimburse Post for such offering expenses from sources other than the proceeds of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Following the formation transactions, BellRing Brands, Inc. will be subject to U.S. federal income taxes, in addition to state, local and foreign taxes, with respect to its allocable share of any net taxable income of BellRing Brands, LLC and its domestic subsidiaries. As a result, this reflects the tax effects of the proforma adjustments at an assumed blended statutory tax rate of 27.2% for the fiscal year ended September 30, 2018 and 23.8% for the nine months ended June 30, 2019 along with adjustments to reflect BellRing Brands, Inc.’s 26.0% of net taxable income.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Tax Receivable Agreement</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Upon the completion of the formation transactions, BellRing Brands, Inc. will enter into the tax receivable agreement with Post and BellRing Brands, LLC described under “Certain Relationships and Related Party Transactions—Post-Offering Relationship with Post—Tax Receivable Agreement.” BellRing Brands, Inc. may incur obligations under the tax receivable agreement subsequent to the completion of the formation transactions, as well as in connection with certain tax benefits BellRing Brands, Inc. may realize in connection with the formation transactions. The unaudited pro forma condensed consolidated financial statements include adjustments to reflect the expected amounts due to Post under the tax receivable agreement from disproportionate allocations of tax benefits to BellRing Brands, Inc. under Section 704(c) of the Code resulting from the formation transactions.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For an illustration of the amount, based upon certain assumptions, that would be payable by BellRing Brands, Inc. under the tax receivable agreement if all of Post’s (and its transferees’ and assignees’) BellRing Brands, LLC Units were redeemed, see above under “Unaudited Pro Forma Condensed Consolidated Financial Information.”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Following the completion of this offering, BellRing Brands, LLC will receive proceeds from the term loan, the revolving credit facility and the offering and make payments for the Post bridge loan and related interest. In addition, BellRing Brands, LLC will pay to Post an amount equal to the value of all cash and cash equivalents held by BellRing Brands, LLC and its subsidiaries as of immediately prior to the consummation of this offering. See related cash adjustments as follows: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term loan and revolving credit facility</w:t>
            </w:r>
            <w:r>
              <w:rPr>
                <w:rFonts w:ascii="Arial" w:cs="Arial" w:eastAsia="Arial" w:hAnsi="Arial"/>
                <w:sz w:val="15"/>
                <w:szCs w:val="15"/>
                <w:color w:val="auto"/>
              </w:rPr>
              <w:t>(b)</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proceeds from offering (excluding offering expenses)</w:t>
            </w:r>
            <w:r>
              <w:rPr>
                <w:rFonts w:ascii="Arial" w:cs="Arial" w:eastAsia="Arial" w:hAnsi="Arial"/>
                <w:sz w:val="15"/>
                <w:szCs w:val="15"/>
                <w:color w:val="auto"/>
              </w:rPr>
              <w:t>(d)</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Payment of Post bridge loan and interest</w:t>
            </w:r>
            <w:r>
              <w:rPr>
                <w:rFonts w:ascii="Arial" w:cs="Arial" w:eastAsia="Arial" w:hAnsi="Arial"/>
                <w:sz w:val="15"/>
                <w:szCs w:val="15"/>
                <w:color w:val="auto"/>
              </w:rPr>
              <w:t>(b)</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Payment of cash and cash equivalents to Post</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Transaction expenses and Master Services Agreement costs</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Represents the removal of non-recurring transaction expenses in Active Nutrition’s historical statement of operations for the nine months ended June 30, 2019, which are directly attributable to BellRing Brands, Inc.’s separation from Post. Additionally, no adjustments have been made related to expected master services agreement fees as the best estimates of those amounts are included in expense allocations that are recorded in Active Nutrition’s historical statements of operations. For additional information on expense allocations, refer to Notes 8 and 10 within “Notes to Condensed Combined Financial Statements” for the nine months ended June 30, 2019 and “Notes to Combined Financial Statements” for the year ended September 30, 2018, respectively.</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following discussion summarizes the significant factors affecting the combined operating results, financial condition, liquidity and capital resources of BellRing Brands, Inc. and its subsidiaries. This discussion should be read in conjunction with the historical combined financial statements and the accompanying notes and other financial information for Post’s Active Nutrition business (“Active Nutrition”), as well as the “Cautionary Statement Regarding Forward-Looking Statements” included elsewhere in this prospectus.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are reasonable. However, the allocations may not reflect the expenses that BellRing Brands, Inc. may have incurred as a separate company for the periods presented. For additional information, see “Risk Factors” within this prospectus.</w:t>
      </w:r>
    </w:p>
    <w:p>
      <w:pPr>
        <w:spacing w:after="0" w:line="27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BellRing Brands, Inc. was formed as a Delaware corporation in 2019 for the purpose of completing this offering. Upon completion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formation transactions, BellRing Brands, LLC will become the holder of Posts’s Active Nutrition business, which, effective as of the fiscal quarter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ended June 30, 2015, has been comprised of Premier Nutrition, Dymatize and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also includes Active Nutrition International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GmbH, which manufactures and sells Active Nutrition products in certain international markets. We are a provider of highly nutritious, great-tasting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products including RTD protein shakes, other RTD beverages, powders, nutrition bars and nutritional supplements in the convenient nutrition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category. The following discussion contains references to the nine months ended June 30, 2019 and 2018 and the years ended September 30, 2018,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2016, which represent the financial results of our predecessor, Active Nutrition, for the same periods.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Industry &amp; Company Trends</w:t>
      </w:r>
    </w:p>
    <w:p>
      <w:pPr>
        <w:spacing w:after="0" w:line="11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 We expect the convergence of several factors to support the continued growth of the convenient nutrition category, including:</w:t>
      </w:r>
    </w:p>
    <w:p>
      <w:pPr>
        <w:spacing w:after="0" w:line="29" w:lineRule="exact"/>
        <w:rPr>
          <w:sz w:val="20"/>
          <w:szCs w:val="20"/>
          <w:color w:val="auto"/>
        </w:rPr>
      </w:pPr>
    </w:p>
    <w:p>
      <w:pPr>
        <w:ind w:left="1180" w:hanging="544"/>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31" w:lineRule="exact"/>
        <w:rPr>
          <w:sz w:val="20"/>
          <w:szCs w:val="20"/>
          <w:color w:val="auto"/>
        </w:rPr>
      </w:pPr>
    </w:p>
    <w:p>
      <w:pPr>
        <w:ind w:left="1180" w:right="620" w:hanging="544"/>
        <w:spacing w:after="0" w:line="342" w:lineRule="auto"/>
        <w:tabs>
          <w:tab w:leader="none" w:pos="1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highly competitive nature of the industry, which involves competition from a host of nutritional food and beverage companies, including manufacturers of other branded food and beverage products as well as manufacturers of private label products; and</w:t>
      </w:r>
    </w:p>
    <w:p>
      <w:pPr>
        <w:spacing w:after="0" w:line="29" w:lineRule="exact"/>
        <w:rPr>
          <w:rFonts w:ascii="Arial" w:cs="Arial" w:eastAsia="Arial" w:hAnsi="Arial"/>
          <w:sz w:val="16"/>
          <w:szCs w:val="16"/>
          <w:color w:val="auto"/>
        </w:rPr>
      </w:pPr>
    </w:p>
    <w:p>
      <w:pPr>
        <w:ind w:left="1180" w:right="300" w:hanging="544"/>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changing consumer preferences which require food manufacturers to identify changing preferences and to offer products that appeal to consumers.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addition to the company trends described above, we also experienced short-term supply constraints for our RTD protein shakes during the nine months ended June 30, 2019. With the rapid consumption growth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have added significant capacity at our contract manufacturing partners in order to keep up with consumer demand. However, due to a combination of better than expected volume growth for our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RTD shakes in the second half of fiscal 2018 and delays in planned incremental production capacity by our third party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network, our customer demand exceeded our available capacity and resulted in inventory below acceptable levels at September 30, 2018. To increase inventory and to minimize the overall impact to customers and consumers, we temporarily reduced our available RTD protein shake flavors in the first quarter of fiscal 2019 from seven to its two best-selling flavors, chocolate and vanilla. This decision adversely impacted the year-over-year growth rate for the nine months ended June 30, 2019 compared to growth trends experienced in fiscal 2018 and 2017. During the second quarter of fiscal 2019, all flavors were re-introduced. With these actions as well as planned incremental capacity in the second half of fiscal 2019, we believe we will be able to meet expected customer demand and our inventory levels will be enough to accelerate our growth beyond that experienced since the beginning of fiscal 2019. At June 30, 2019, inventory had returned to normal levels and modest additional increases in inventory levels are expected through the end of fiscal 2019.</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consist of the following:</w:t>
      </w:r>
    </w:p>
    <w:p>
      <w:pPr>
        <w:spacing w:after="0" w:line="131" w:lineRule="exact"/>
        <w:rPr>
          <w:sz w:val="20"/>
          <w:szCs w:val="20"/>
          <w:color w:val="auto"/>
        </w:rPr>
      </w:pPr>
    </w:p>
    <w:p>
      <w:pPr>
        <w:ind w:left="1180" w:hanging="544"/>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gross sales</w:t>
      </w:r>
      <w:r>
        <w:rPr>
          <w:rFonts w:ascii="Arial" w:cs="Arial" w:eastAsia="Arial" w:hAnsi="Arial"/>
          <w:sz w:val="18"/>
          <w:szCs w:val="18"/>
          <w:color w:val="auto"/>
        </w:rPr>
        <w:t>, which fluctuate as a function of changes in volume, product mix and list price;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costs deducted from gross sales to reach net sales, which consist of </w:t>
      </w:r>
      <w:r>
        <w:rPr>
          <w:rFonts w:ascii="Arial" w:cs="Arial" w:eastAsia="Arial" w:hAnsi="Arial"/>
          <w:sz w:val="16"/>
          <w:szCs w:val="16"/>
          <w:i w:val="1"/>
          <w:iCs w:val="1"/>
          <w:color w:val="auto"/>
        </w:rPr>
        <w:t>cash discounts, returns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allowances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trade spending</w:t>
      </w:r>
      <w:r>
        <w:rPr>
          <w:rFonts w:ascii="Arial" w:cs="Arial" w:eastAsia="Arial" w:hAnsi="Arial"/>
          <w:sz w:val="16"/>
          <w:szCs w:val="16"/>
          <w:color w:val="auto"/>
        </w:rPr>
        <w: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cost of goods sold in the statements of operations include:</w:t>
      </w:r>
    </w:p>
    <w:p>
      <w:pPr>
        <w:spacing w:after="0" w:line="131" w:lineRule="exact"/>
        <w:rPr>
          <w:sz w:val="20"/>
          <w:szCs w:val="20"/>
          <w:color w:val="auto"/>
        </w:rPr>
      </w:pPr>
    </w:p>
    <w:p>
      <w:pPr>
        <w:ind w:left="1180" w:hanging="544"/>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raw materials</w:t>
      </w:r>
      <w:r>
        <w:rPr>
          <w:rFonts w:ascii="Arial" w:cs="Arial" w:eastAsia="Arial" w:hAnsi="Arial"/>
          <w:sz w:val="18"/>
          <w:szCs w:val="18"/>
          <w:color w:val="auto"/>
        </w:rPr>
        <w:t>, which include milk-based, whey-based and soy-based proteins and protein blends;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packaging costs</w:t>
      </w:r>
      <w:r>
        <w:rPr>
          <w:rFonts w:ascii="Arial" w:cs="Arial" w:eastAsia="Arial" w:hAnsi="Arial"/>
          <w:sz w:val="18"/>
          <w:szCs w:val="18"/>
          <w:color w:val="auto"/>
        </w:rPr>
        <w:t>, which include aseptic foil and plastic lined cardboard cartons, aseptic plastic bottles, plastic jars and lids, flexible film,</w:t>
      </w:r>
      <w:r>
        <w:rPr>
          <w:rFonts w:ascii="Arial" w:cs="Arial" w:eastAsia="Arial" w:hAnsi="Arial"/>
          <w:sz w:val="18"/>
          <w:szCs w:val="18"/>
          <w:i w:val="1"/>
          <w:iCs w:val="1"/>
          <w:color w:val="auto"/>
        </w:rPr>
        <w:t xml:space="preserve"> </w:t>
      </w:r>
      <w:r>
        <w:rPr>
          <w:rFonts w:ascii="Arial" w:cs="Arial" w:eastAsia="Arial" w:hAnsi="Arial"/>
          <w:sz w:val="18"/>
          <w:szCs w:val="18"/>
          <w:color w:val="auto"/>
        </w:rPr>
        <w:t>cartons and corrugate;</w:t>
      </w:r>
    </w:p>
    <w:p>
      <w:pPr>
        <w:spacing w:after="0" w:line="75" w:lineRule="exact"/>
        <w:rPr>
          <w:rFonts w:ascii="Arial" w:cs="Arial" w:eastAsia="Arial" w:hAnsi="Arial"/>
          <w:sz w:val="18"/>
          <w:szCs w:val="18"/>
          <w:color w:val="auto"/>
        </w:rPr>
      </w:pPr>
    </w:p>
    <w:p>
      <w:pPr>
        <w:ind w:left="1180" w:right="20" w:hanging="544"/>
        <w:spacing w:after="0" w:line="276" w:lineRule="auto"/>
        <w:tabs>
          <w:tab w:leader="none" w:pos="11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contract manufacturing and manufacturing costs</w:t>
      </w:r>
      <w:r>
        <w:rPr>
          <w:rFonts w:ascii="Arial" w:cs="Arial" w:eastAsia="Arial" w:hAnsi="Arial"/>
          <w:sz w:val="17"/>
          <w:szCs w:val="17"/>
          <w:color w:val="auto"/>
        </w:rPr>
        <w:t>, which include all costs necessary to convert raw materials into finished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produce our finished products primarily through engaging third party contract manufacturers in North America and the E.U. We receive finished products from our contract manufacturers, which include all packaging and ingredients used, for an agreed-upon tolling charge for each item produced as well as other minor costs. We also own a manufacturing plant in Voerde, Germany that supplies some of the products for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brands in the E.U. and the U.K.; and</w:t>
      </w:r>
    </w:p>
    <w:p>
      <w:pPr>
        <w:spacing w:after="0" w:line="77" w:lineRule="exact"/>
        <w:rPr>
          <w:rFonts w:ascii="Arial" w:cs="Arial" w:eastAsia="Arial" w:hAnsi="Arial"/>
          <w:sz w:val="17"/>
          <w:szCs w:val="17"/>
          <w:color w:val="auto"/>
        </w:rPr>
      </w:pPr>
    </w:p>
    <w:p>
      <w:pPr>
        <w:ind w:left="1180" w:right="240" w:hanging="544"/>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freight</w:t>
      </w:r>
      <w:r>
        <w:rPr>
          <w:rFonts w:ascii="Arial" w:cs="Arial" w:eastAsia="Arial" w:hAnsi="Arial"/>
          <w:sz w:val="18"/>
          <w:szCs w:val="18"/>
          <w:color w:val="auto"/>
        </w:rPr>
        <w:t>, which includes costs to transport our products from the manufacturing facilities to distribution centers and to deliver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Our freight costs are impacted by fuel costs, as well as carrier availability.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selling, general and administrative expenses in the statements of operations include:</w:t>
      </w:r>
    </w:p>
    <w:p>
      <w:pPr>
        <w:spacing w:after="0" w:line="131" w:lineRule="exact"/>
        <w:rPr>
          <w:sz w:val="20"/>
          <w:szCs w:val="20"/>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marketing and distribution, advertising and promotion, 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and administrative costs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corporate allocations</w:t>
      </w:r>
      <w:r>
        <w:rPr>
          <w:rFonts w:ascii="Arial" w:cs="Arial" w:eastAsia="Arial" w:hAnsi="Arial"/>
          <w:sz w:val="16"/>
          <w:szCs w:val="16"/>
          <w:color w:val="auto"/>
        </w:rPr>
        <w:t>, which include allocations from Post of general and administrative costs, including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costs related to the finance, information technology, legal, human resources, quality, supply chain and purchasing functions.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earnings before income taxes (“EBIT”) margins because of customer spending patterns and timing of promotional activity. Historically, our first fiscal quarter is seasonally low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During the nine months ended June 30, 2019 and 2018, “Earnings before Income Taxes” in the Condensed Combined Statements of Operations and Comprehensive Income were impacted by the following items:</w:t>
      </w:r>
    </w:p>
    <w:p>
      <w:pPr>
        <w:spacing w:after="0" w:line="76" w:lineRule="exact"/>
        <w:rPr>
          <w:sz w:val="20"/>
          <w:szCs w:val="20"/>
          <w:color w:val="auto"/>
        </w:rPr>
      </w:pPr>
    </w:p>
    <w:p>
      <w:pPr>
        <w:ind w:left="1180" w:right="320" w:hanging="544"/>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short-term supply constraints for our RTD protein shakes, which resulted in smaller volume increases as compared to prior periods (see “Industry &amp; Company Trends” above for further discussion);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separation costs of $4.0 million related to our separation from Post for the nine months ended June 30, 2019;</w:t>
      </w:r>
    </w:p>
    <w:p>
      <w:pPr>
        <w:spacing w:after="0" w:line="130" w:lineRule="exact"/>
        <w:rPr>
          <w:rFonts w:ascii="Arial" w:cs="Arial" w:eastAsia="Arial" w:hAnsi="Arial"/>
          <w:sz w:val="18"/>
          <w:szCs w:val="18"/>
          <w:color w:val="auto"/>
        </w:rPr>
      </w:pPr>
    </w:p>
    <w:p>
      <w:pPr>
        <w:ind w:left="1180" w:right="200" w:hanging="544"/>
        <w:spacing w:after="0" w:line="308" w:lineRule="auto"/>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reclassification of certain payments to customers of $5.3 million from selling expenses to net sales in the nine months ended June 30, 2019, in connection with the adoption of ASU 2014-09, “Revenue from Contracts with Customers (Topic 606);” and</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litigation settlement accrual of $9.0 million in the nine months ended June 30,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September 30, 2018, 2017 and 2016, EBIT was impacted by the following items:</w:t>
      </w:r>
    </w:p>
    <w:p>
      <w:pPr>
        <w:spacing w:after="0" w:line="131" w:lineRule="exact"/>
        <w:rPr>
          <w:sz w:val="20"/>
          <w:szCs w:val="20"/>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litigation settlement accruals of $9.0 million and $5.5 million in the years ended September 30, 2018 and 2016, respectively;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goodwill impairment charge of $26.5 million in the year ended September 30,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insurance proceeds of $2.0 million in the year ended September 30, 2017; and</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restructuring and plant closure costs of $5.0 million and losses on assets held for sale of $4.5 million in the year ended September 30, 2016.</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Nine months ended June 30, 2019 and 2018</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Active Nutrition</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240"/>
              <w:spacing w:after="0" w:line="142" w:lineRule="exact"/>
              <w:rPr>
                <w:sz w:val="20"/>
                <w:szCs w:val="20"/>
                <w:color w:val="auto"/>
              </w:rPr>
            </w:pPr>
            <w:r>
              <w:rPr>
                <w:rFonts w:ascii="Arial" w:cs="Arial" w:eastAsia="Arial" w:hAnsi="Arial"/>
                <w:sz w:val="14"/>
                <w:szCs w:val="14"/>
                <w:b w:val="1"/>
                <w:bCs w:val="1"/>
                <w:color w:val="auto"/>
              </w:rPr>
              <w:t>Nine Months Ended June 30,</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680" w:type="dxa"/>
            <w:vAlign w:val="bottom"/>
            <w:gridSpan w:val="2"/>
          </w:tcPr>
          <w:p>
            <w:pPr>
              <w:ind w:left="5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639.9</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404.8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403.6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235.1</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EBIT Margin</w:t>
            </w:r>
          </w:p>
        </w:tc>
        <w:tc>
          <w:tcPr>
            <w:tcW w:w="444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3160" w:type="dxa"/>
            <w:vAlign w:val="bottom"/>
          </w:tcPr>
          <w:p>
            <w:pPr>
              <w:jc w:val="right"/>
              <w:ind w:right="235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16%</w:t>
            </w:r>
          </w:p>
        </w:tc>
      </w:tr>
      <w:tr>
        <w:trPr>
          <w:trHeight w:val="36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40" w:type="dxa"/>
            <w:vAlign w:val="bottom"/>
          </w:tcPr>
          <w:p>
            <w:pPr>
              <w:jc w:val="right"/>
              <w:ind w:right="2190"/>
              <w:spacing w:after="0"/>
              <w:rPr>
                <w:sz w:val="20"/>
                <w:szCs w:val="20"/>
                <w:color w:val="auto"/>
              </w:rPr>
            </w:pPr>
            <w:r>
              <w:rPr>
                <w:rFonts w:ascii="Arial" w:cs="Arial" w:eastAsia="Arial" w:hAnsi="Arial"/>
                <w:sz w:val="18"/>
                <w:szCs w:val="18"/>
                <w:color w:val="auto"/>
              </w:rPr>
              <w:t>84</w:t>
            </w:r>
          </w:p>
        </w:tc>
        <w:tc>
          <w:tcPr>
            <w:tcW w:w="31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Net sales increased $32.3 million, or 5%, during the nine months ended June 30, 2019, as compared to the corresponding period in the prior year, primarily due to higher volume and higher average net selling prices.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$47.2 million, or 10%, with volume up 7%, primarily driven by increases in sales of RTD protein shake products, partially offset by lower sales of nutrition bars. Sales of RTD protein shakes in the nine months ended June 30, 2019 were positively impacted by approximately $15 million of sales associated with the request for early delivery of product made by a large customer to support promotional activity in the third quarter of fiscal 2019, as compared to comparable delivery in the fourth quarter of fiscal 2018. However, increases in RTD protein shake product volumes for the nine months ended June 30, 2019 were below recent growth trends primarily due to short-term supply constraints (for further discussion, see “Industry &amp; Company Trends” above).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up $2.8 million, or 3%, with volume up 2%, primarily due to distribution gains in the club and mass channels and organic growth in the eCommerce channel, partially offset by declines in the specialty channel.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$13.5 million, or 28%, with volume down 31%, driven by distribution losses and strategic sales reductions of low performing products within our North American portfolio. Sales of all other products were down $4.2 million. Current year net sales were impacted by the reclassification of certain payments to customers of $5.3 million from selling expenses to net sales in connection with the adoption of ASU 2014-09 (see below for further discussion).</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EBIT increased $43.7 million, or 53%, for the nine months ended June 30, 2019, as compared to the corresponding period in the prior year. EBIT in the nine months ended June 30, 2018 was impacted by a litigation settlement accrual of $9.0 million. Excluding this impact, EBIT increased</w:t>
      </w:r>
    </w:p>
    <w:p>
      <w:pPr>
        <w:ind w:left="200" w:right="80"/>
        <w:spacing w:after="0" w:line="253" w:lineRule="auto"/>
        <w:rPr>
          <w:sz w:val="20"/>
          <w:szCs w:val="20"/>
          <w:color w:val="auto"/>
        </w:rPr>
      </w:pPr>
      <w:r>
        <w:rPr>
          <w:rFonts w:ascii="Arial" w:cs="Arial" w:eastAsia="Arial" w:hAnsi="Arial"/>
          <w:sz w:val="18"/>
          <w:szCs w:val="18"/>
          <w:color w:val="auto"/>
        </w:rPr>
        <w:t>$34.7 million, or 38%. Gross profit margins improved to 37% in the nine months ended June 30, 2019, from 34% in the prior year period. These increases were driven by higher average net selling prices, as previously discussed, lower net product costs of $16.0 million, as favorable raw materials and freight costs were partially offset by increased manufacturing costs, and reduced advertising and consumer spending of $7.4 million. These positive impacts were partially offset by higher employee-related expenses and increased corporate cost allocations of $5.0 million driven primarily by costs incurred related to our separation from Post.</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effective income tax rate was 23.8% and 15.8% for the nine months ended June 30, 2019 and 2018, respectively. In accordance with Accounting Standards Codification (“ASC”) Topic 740, “Income Taxes,” income tax expense is recorded for interim periods using the estimated annual effective income tax rate for the full fiscal year adjusted for the impact of discrete items occurring during the interim periods.</w:t>
      </w:r>
    </w:p>
    <w:p>
      <w:pPr>
        <w:spacing w:after="0" w:line="166"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effective income tax rate in the nine months ended June 30, 2018, was impacted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was prorated with the pre-December 22, 2017 U.S. federal corporate income tax rate of 35% for the 2018 tax year. This proration resulted in a blended U.S. federal corporate income tax rate of 24.5% for fiscal 2018. During the nine months ended June, 2018, Active Nutrition (i) remeasured its existing deferred tax assets and liabilities considering both the 2018 fiscal blended rate and the 21% rate for periods beyond fiscal 2018 and recorded a tax benefit of $9.9 million and (ii) calculated the one-time transition tax and recorded tax expense of $0.5 million. Full expensing of certain depreciable assets resulted in temporary differences, which were analyzed throughout fiscal 2018 as assets were placed in service.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from Contracts with Customers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On October 1, 2018, Active Nutrition adopted ASU 2014-09, “Revenue from Contracts with Customers (Topic 606),” which superseded all existing revenue recognition guidance under GAAP. Upon adoption, certain payments to customers were reclassified from “Selling, general and administrative expenses” to “Net Sales” in the Condensed Combined Statement of Operations and Comprehensive Income for the nine months ended June 30, 2019. For additional information regarding ASU 2014-09, refer to Note 3 of “Notes to Condensed Combined Financial Statements” for the nine months ended June 30, 2019 and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Years Ended September 30, 2018, 2017 and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Active Nutrition</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 in millions; favorable/(unfavorable)</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827.5</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549.8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395.5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277.7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34%</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EBIT Margin</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9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2760" w:type="dxa"/>
            <w:vAlign w:val="bottom"/>
          </w:tcPr>
          <w:p>
            <w:pPr>
              <w:jc w:val="right"/>
              <w:ind w:right="205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46%</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37%</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 increased $114.3 million, or 16%, during the year ended September 30, 2018, as compared to the corresponding period in the prior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$135.0 million, or 27%, with volume up 29%, driven by increased consumption and distribution of RTD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protein shakes, as well as new product introductions.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$2.1 million, or 2%, with volume down 13%, primarily due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 weakness in the domestic specialty channel, partially offset by volume gains in the eCommerce channel, new distribution in the club and mass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channels and a favorable customer and product mix.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$18.9 million, or 24%, with volume down 27%, primarily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lost distribution in the mass channel, portfolio reductions on low performing product and reduced consumption in North America. These negative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impacts were partially offset by new product introductions and favorable foreign exchange rates. Sales of all other products were up $0.3 million.</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EBIT increased $54.2 million, or 83%, for the year ended September 30, 2018. EBIT in the year ended September 30, 2018 was impacted by a litigation settlement accrual of $9.0 million and in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 xml:space="preserve">September 30, 2017, by an impairment of goodwill of $26.5 million (see below for further discussion) and insurance proceeds of $2.0 million. Excluding these impacts, EBIT increased $38.7 million, or 43%. This increase was driven by higher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 volumes, as previously discussed, and lower advertising and consumer spending of $9.7 million, partially offset by higher raw material costs of $2.3 million, increased freight costs of $8.4 million (excluding volume-driven increases) and increased employee-related expenses to support growth.</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Net sales increased $138.5 million, or 24%, during the year ended September 30, 2017, as compared to the corresponding period in the prior year.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$166.3 million, or 50%, with volume up 53%, driven by increased consumption and distribution of RTD protein shakes, as well as new product introductions, partially offset by targeted price reductions and increased promotional activity.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down $4.8 million, or 4%, primarily due to weakness in the domestic specialty channel and higher promotional activity, partially offset by an increase in volume of 10%. The increase in volume is primarily the result of distribution gains in the eCommerce channel and international growth. Sales of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were down $12.1 million, or 13%, with volume down 27%, primarily due to lost distribution in North America, discontinued products and increased promotional investments. These negative impacts were partially offset by new product introductions and a favorable product mix. Other product sales were down $10.9 million, or 34%, with volume down 32%, primarily due to lower consumption of </w:t>
      </w:r>
      <w:r>
        <w:rPr>
          <w:rFonts w:ascii="Arial" w:cs="Arial" w:eastAsia="Arial" w:hAnsi="Arial"/>
          <w:sz w:val="18"/>
          <w:szCs w:val="18"/>
          <w:i w:val="1"/>
          <w:iCs w:val="1"/>
          <w:color w:val="auto"/>
        </w:rPr>
        <w:t>Supreme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Joint Juice </w:t>
      </w:r>
      <w:r>
        <w:rPr>
          <w:rFonts w:ascii="Arial" w:cs="Arial" w:eastAsia="Arial" w:hAnsi="Arial"/>
          <w:sz w:val="18"/>
          <w:szCs w:val="18"/>
          <w:color w:val="auto"/>
        </w:rPr>
        <w:t>products.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jc w:val="both"/>
        <w:ind w:left="200" w:right="100" w:firstLine="441"/>
        <w:spacing w:after="0" w:line="288" w:lineRule="auto"/>
        <w:rPr>
          <w:sz w:val="20"/>
          <w:szCs w:val="20"/>
          <w:color w:val="auto"/>
        </w:rPr>
      </w:pPr>
      <w:r>
        <w:rPr>
          <w:rFonts w:ascii="Arial" w:cs="Arial" w:eastAsia="Arial" w:hAnsi="Arial"/>
          <w:sz w:val="16"/>
          <w:szCs w:val="16"/>
          <w:color w:val="auto"/>
        </w:rPr>
        <w:t>EBIT increased $33.9 million, or 107%, for the year ended September 30, 2017. EBIT in the year ended September 30, 2017 was impacted by an impairment of goodwill of $26.5 million (see below for further discussion) and insurance proceeds of $2.0 million and in the year ended September 30, 2016, by a litigation settlement accrual of $5.5 million, restructuring and plant closure costs of $5.0 million and losses on assets held for sale of</w:t>
      </w:r>
    </w:p>
    <w:p>
      <w:pPr>
        <w:ind w:left="200" w:right="120"/>
        <w:spacing w:after="0" w:line="253" w:lineRule="auto"/>
        <w:rPr>
          <w:sz w:val="20"/>
          <w:szCs w:val="20"/>
          <w:color w:val="auto"/>
        </w:rPr>
      </w:pPr>
      <w:r>
        <w:rPr>
          <w:rFonts w:ascii="Arial" w:cs="Arial" w:eastAsia="Arial" w:hAnsi="Arial"/>
          <w:sz w:val="18"/>
          <w:szCs w:val="18"/>
          <w:color w:val="auto"/>
        </w:rPr>
        <w:t xml:space="preserve">$4.5 million. Excluding these impacts, EBIT increased $43.4 million, or 93%.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described, and favorable input costs of $24.9 million, partially offset by lower net selling prices, $6.4 million higher advertising and consumer spending related to the growth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branded products and increased employee-related expenses resulting from increased headcount to support growth. For additional information on restructuring activities and assets held for sale, refer to Note 4 of “Notes to Combined Financial Statements” for the years ended September 30, 2018, 2017 and 2016.</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Active Nutrition</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9"/>
          </w:tcPr>
          <w:p>
            <w:pPr>
              <w:jc w:val="center"/>
              <w:ind w:right="33"/>
              <w:spacing w:after="0" w:line="142" w:lineRule="exact"/>
              <w:rPr>
                <w:sz w:val="20"/>
                <w:szCs w:val="20"/>
                <w:color w:val="auto"/>
              </w:rPr>
            </w:pPr>
            <w:r>
              <w:rPr>
                <w:rFonts w:ascii="Arial" w:cs="Arial" w:eastAsia="Arial" w:hAnsi="Arial"/>
                <w:sz w:val="14"/>
                <w:szCs w:val="14"/>
                <w:b w:val="1"/>
                <w:bCs w:val="1"/>
                <w:color w:val="auto"/>
                <w:w w:val="92"/>
              </w:rPr>
              <w:t>Year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160" w:hanging="436"/>
        <w:spacing w:after="0" w:line="264"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U.S. federal corporate income tax rate of 24.5%. The fiscal 2018 federal corporate income tax rate was impacted by the Tax Act, as discussed below. Fiscal 2017 and 2016 federal corporate income tax was computed at the federal statutory tax rate of 35%.</w:t>
      </w:r>
    </w:p>
    <w:p>
      <w:pPr>
        <w:spacing w:after="0" w:line="181" w:lineRule="exact"/>
        <w:rPr>
          <w:sz w:val="20"/>
          <w:szCs w:val="20"/>
          <w:color w:val="auto"/>
        </w:rPr>
      </w:pPr>
    </w:p>
    <w:p>
      <w:pPr>
        <w:ind w:left="200" w:right="80" w:firstLine="441"/>
        <w:spacing w:after="0" w:line="284" w:lineRule="auto"/>
        <w:rPr>
          <w:sz w:val="20"/>
          <w:szCs w:val="20"/>
          <w:color w:val="auto"/>
        </w:rPr>
      </w:pPr>
      <w:r>
        <w:rPr>
          <w:rFonts w:ascii="Arial" w:cs="Arial" w:eastAsia="Arial" w:hAnsi="Arial"/>
          <w:sz w:val="16"/>
          <w:szCs w:val="16"/>
          <w:color w:val="auto"/>
        </w:rPr>
        <w:t>In fiscal 2018, the effective income tax rate was impacted by the Tax Act, which was enacted on December 22, 2017. The SEC issued interpretive guidance regarding the Tax Act, which was codified by ASU 2018-05 in March 2018.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is prorated with the pre-December 22, 2017 U.S. federal corporate income tax rate of 35% for the 2018 tax year. This proration resulted in a blended U.S. federal corporate income tax rate of 24.5% for fiscal 2018. Adjustments were made in the following instances: (i) Active Nutrition remeasured its existing deferred tax assets and liabilities considering both the 2018 fiscal blended rate and the 21% rate for future periods and recorded a tax benefit of</w:t>
      </w:r>
    </w:p>
    <w:p>
      <w:pPr>
        <w:spacing w:after="0" w:line="1" w:lineRule="exact"/>
        <w:rPr>
          <w:sz w:val="20"/>
          <w:szCs w:val="20"/>
          <w:color w:val="auto"/>
        </w:rPr>
      </w:pPr>
    </w:p>
    <w:p>
      <w:pPr>
        <w:ind w:left="200" w:right="780"/>
        <w:spacing w:after="0" w:line="261" w:lineRule="auto"/>
        <w:rPr>
          <w:sz w:val="20"/>
          <w:szCs w:val="20"/>
          <w:color w:val="auto"/>
        </w:rPr>
      </w:pPr>
      <w:r>
        <w:rPr>
          <w:rFonts w:ascii="Arial" w:cs="Arial" w:eastAsia="Arial" w:hAnsi="Arial"/>
          <w:sz w:val="18"/>
          <w:szCs w:val="18"/>
          <w:color w:val="auto"/>
        </w:rPr>
        <w:t>$9.9 million and (ii) Active Nutrition calculated the one-time transition tax and recorded tax expense of $0.5 million. Full expensing of certain depreciable assets will result in a temporary difference as assets are placed in service.</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Active Nutrition</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5"/>
          </w:tcPr>
          <w:p>
            <w:pPr>
              <w:jc w:val="right"/>
              <w:ind w:right="240"/>
              <w:spacing w:after="0" w:line="119"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0"/>
                <w:szCs w:val="10"/>
                <w:color w:val="auto"/>
              </w:rPr>
            </w:pPr>
          </w:p>
        </w:tc>
        <w:tc>
          <w:tcPr>
            <w:tcW w:w="21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bottom w:val="single" w:sz="8" w:color="auto"/>
            </w:tcBorders>
            <w:gridSpan w:val="6"/>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6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activities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100.5</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Financing activities</w:t>
            </w:r>
          </w:p>
        </w:tc>
        <w:tc>
          <w:tcPr>
            <w:tcW w:w="980" w:type="dxa"/>
            <w:vAlign w:val="bottom"/>
            <w:gridSpan w:val="3"/>
          </w:tcPr>
          <w:p>
            <w:pPr>
              <w:jc w:val="right"/>
              <w:ind w:right="379"/>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(99.5)</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(133.0)</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(7.5</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(1.1</w:t>
            </w:r>
          </w:p>
        </w:tc>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Financial resources for our U.S. operations have historically been provided by Post, which has managed cash and cash equivalents on a centralized basis. Under Post’s centralized cash management system, cash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requirements are provided directly by Post and cash generated by us is generally remitted directly to Post. 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BellRing Brands, Inc. expects to receive net proceeds from this offering of approximately $448.0 million (or approximately $516.4 million if the underwriters exercise their over-allotment option in full), after deducting underwriting discounts and commissions and estimated offering expenses payable by us.</w:t>
      </w:r>
    </w:p>
    <w:p>
      <w:pPr>
        <w:spacing w:after="0" w:line="18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Prior to completion of this offering, Post borrowed $1,225.0 million under the Post bridge loan that Post and certain of its subsidiaries as guarantors (other than BellRing Brands, Inc., but including BellRing Brands, LLC and its domestic subsidiaries) entered into with various financial institutions. On the same day that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 and related interest.</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the debt facilities consisting of a $200.0 million revolving credit facility and an approximately $700.0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term loan facility and the revolving credit facility, we can provide no assurance that the Board of Managers will make such a determination. We anticipate that BellRing Brands, LLC, if its Board of Managers determines to borrow under the debt facilities, will borrow the full amount available under the term loan facility and $100.0 million under the revolving credit facility, resulting in net proceeds to BellRing Brands, LLC of approximately $2.3 million, after deducting fees and expenses (including original issue discount with respect to the term loan facility), repayment of the remaining portion of the Post bridge loan and related interest and repayment of cash and cash equivalents to Post.</w:t>
      </w:r>
    </w:p>
    <w:p>
      <w:pPr>
        <w:spacing w:after="0" w:line="178"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18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 will not be an obligor or guarantor under the debt facilities, nor will BellRing Brands, Inc. pledge its BellRing Brands, LLC Units as collateral.</w:t>
      </w:r>
    </w:p>
    <w:p>
      <w:pPr>
        <w:spacing w:after="0" w:line="23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As part of the formation transactions and this offering, BellRing Brands, LLC and its subsidiaries and BellRing Brands, Inc.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Post debt.</w:t>
      </w:r>
    </w:p>
    <w:p>
      <w:pPr>
        <w:spacing w:after="0" w:line="17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Additionally, BellRing Brands, Inc. intends to enter into a tax receivable agreement with Post and BellRing Brands, LLC that will provide for the payment by BellRing Brands, Inc. or one of its subsidiaries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BellRing Brands, Inc. realizes (or, in some circumstances, BellRing Brands, Inc. is deemed to realize) as a result of (a) the increase in the tax basis of assets of BellRing Brands, LLC attributable to (i) the redemption of Post’s (or certain transferees’ or assignees’) BellRing Brands, LLC Units for shares of BellRing Brands, Inc.’s Class A common stock or cash, (ii) deemed sales by Post (or certain of its transferees or assignees) of BellRing Brands, LLC Units or assets to BellRing Brands, Inc., (iii) certain actual or deemed distributions from BellRing Brands, LLC to Post (or certain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2019 or fiscal 2020.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the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BellRing Brands, Inc.’s Class A common stock. See “Certain Relationships and Related Party Transactions—Post-Offering Relationship with Post—Amended and Restated Limited Liability Company Agreement— Distributions and Allocations.” The amended and restated limited liability company agreement provides, to the extent cash is available, for distributions pro rata to the holders of BellRing Brands, LLC Units such that members receive an amount of cash sufficient to cover the estimated taxes payable by them including, in the case of BellRing Brands, Inc., an amount sufficient to allow BellRing Brands, Inc. to make any payments required under the tax receivable agreement.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 xml:space="preserve">Cash provided by operating activities for the nine months ended June 30, 2019 decreased by $41.1 million compared to the prior year period. The decrease was driven by unfavorable working capital changes of $85.9 million, partially offset by higher earnings before income taxes. Changes in working capital were primarily driven by the impacts of fluctuations in the timing of sales largely connected with the reintroduction of all </w:t>
      </w:r>
      <w:r>
        <w:rPr>
          <w:rFonts w:ascii="Arial" w:cs="Arial" w:eastAsia="Arial" w:hAnsi="Arial"/>
          <w:sz w:val="18"/>
          <w:szCs w:val="18"/>
          <w:i w:val="1"/>
          <w:iCs w:val="1"/>
          <w:color w:val="auto"/>
        </w:rPr>
        <w:t>Premier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RTD shake flavors in the second quarter of fiscal 2019 (for further discussion, see “Industry &amp; Company Trends” above) and fluctuations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timing of purchases and payments of trade payables. Additionally, working capital was impacted in the fiscal 2019 period by payments of legal settlements and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the timing of purchases and payments of trade payables and an increase in accrued legal settlements, partially offset by increased receivables due to higher net sales.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provided by operating activities for the year ended September 30, 2017 increased by $39.6 million compared to the year ended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2016. The increase was driven by higher net earnings as well as $5.7 million of favorable working capital changes during the year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September 30, 2017, as compared to the prior year period. The change in working capital was driven by fluctuations in the timing of sales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collections of trade receivables associated with higher overall net sales, as well as fluctuations in the timing of purchases and payments of trade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payables. In addition, net inventory levels were lower as decreases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protein powders resulting from the optimization of finished good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inventory levels were partially offset by increases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to support the rapid growth of that product.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Cash used in investing activities for the nine months ended June 30, 2019 decreased by $0.4 million compared to the prior year period, resulting from a decrease in capital expenditures.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used in investing activities for the year ended September 30, 2018 was $5.0 million compared to cash provided by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 million in the year ended September 30, 2017.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increased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 million in the year ended September 30, 2018, as compared to the prior year period.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provided by investing activities for the year ended September 30, 2017 was $2.1 million compared to cash used in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 million in the year ended September 30, 2016.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decreased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million in the year ended September 30, 2017, as compared to the prior year period.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Cash used in financing activities for the nine months ended June 30, 2019 decreased $34.5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8 of “Notes to Condensed Combined Financial Statements” for the nine months ended June 30, 2019 and 2018).</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2018 increased $49.0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2017 increased $49.2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2018. For consideration of the table below, “Less Than 1 Year” refers to obligations due between October 1, 2018 and September 30, 2019, “1-3 Years” refers to obligations due between October 1, 2019 and September 30, 2021, “3-5 Years” refers to obligations due between October 1, 2021 and September 30, 2023 and “More Than 5 Years” refers to any obligations due after September 30, 2023.</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(c)</w:t>
            </w:r>
          </w:p>
        </w:tc>
        <w:tc>
          <w:tcPr>
            <w:tcW w:w="1100" w:type="dxa"/>
            <w:vAlign w:val="bottom"/>
            <w:gridSpan w:val="3"/>
          </w:tcPr>
          <w:p>
            <w:pPr>
              <w:ind w:left="460"/>
              <w:spacing w:after="0"/>
              <w:rPr>
                <w:sz w:val="20"/>
                <w:szCs w:val="20"/>
                <w:color w:val="auto"/>
              </w:rPr>
            </w:pPr>
            <w:r>
              <w:rPr>
                <w:rFonts w:ascii="Arial" w:cs="Arial" w:eastAsia="Arial" w:hAnsi="Arial"/>
                <w:sz w:val="14"/>
                <w:szCs w:val="14"/>
                <w:b w:val="1"/>
                <w:bCs w:val="1"/>
                <w:color w:val="auto"/>
                <w:w w:val="89"/>
              </w:rPr>
              <w:t>Less Than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9"/>
              </w:rPr>
              <w:t>3-5 Years</w:t>
            </w:r>
          </w:p>
        </w:tc>
        <w:tc>
          <w:tcPr>
            <w:tcW w:w="12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1 Year</w:t>
            </w: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(a)</w:t>
            </w:r>
          </w:p>
        </w:tc>
        <w:tc>
          <w:tcPr>
            <w:tcW w:w="2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$ 114.3</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(b)</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 w:hanging="436"/>
        <w:spacing w:after="0" w:line="256"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ind w:left="640" w:right="760" w:hanging="436"/>
        <w:spacing w:after="0" w:line="250"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lease obligations consist of minimum rental payments under noncancelable operating leases, as shown in Note 11 of “Notes to Combined Financial Statements” for the years ended September 30, 2018, 2017 and 2016.</w:t>
      </w:r>
    </w:p>
    <w:p>
      <w:pPr>
        <w:ind w:left="640" w:right="180" w:hanging="436"/>
        <w:spacing w:after="0" w:line="255"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excluded from the table above $0.5 million for certain provisions of ASC Topic 740, “Income Taxes,” associated with liabilities for uncertain tax positions due to the uncertainty as to the amount and timing of payments, if any. In addition, we have excluded a repatriation tax of $0.5 million due to uncertainty involving the timing of payments.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COMMODITY TRENDS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2018, 2017 and 2016, but could have a material impact in the future if inflation rates were to significantly exceed our ability to achieve price increases.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September 30, 2018, 2017 and 2016, we did not have any off-balance sheet arrangements as defined in Item 303(a)(4) of Regulation S-K that are likely to have a material impact on our financial position or results of operations.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18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188"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Active Nutrition’s significant accounting policies are described in Note 2 of “Notes to Combined Financial Statements” for the years ended September 30, 2018, 2017 and 2016. The critical accounting estimates are those that have a meaningful impact on the reporting of our financial condition and results of operations.</w:t>
      </w:r>
    </w:p>
    <w:p>
      <w:pPr>
        <w:spacing w:after="0" w:line="177" w:lineRule="exact"/>
        <w:rPr>
          <w:sz w:val="20"/>
          <w:szCs w:val="20"/>
          <w:color w:val="auto"/>
        </w:rPr>
      </w:pPr>
    </w:p>
    <w:p>
      <w:pPr>
        <w:ind w:left="200" w:right="380" w:firstLine="441"/>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–Revenue is recognized when title of goods is transferred to the customer, as specified by the shipping terms.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gross sales, including amounts billed to customers for shipping and handling, less sales discounts and trade allowances. Customer trade allowances are generally computed as 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percentage of gross sales. Products are generally sold with no right of return, except in the case of goods which do not meet product specifications or are damaged. Related reserves are maintained based on return history. If additional rights of return are granted, revenue recognition is deferred. Estimated reductions to revenue for customer incentive offerings are based upon customer redemption history.</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In conjunction with the adoption of ASU 2014-09 on October 1, 2018, the policy for recognizing revenue was updated. The revised policy effective for fiscal 2019 is as follows:</w:t>
      </w:r>
    </w:p>
    <w:p>
      <w:pPr>
        <w:spacing w:after="0" w:line="62"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Revenue is recognized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17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We do not believe that there will be significant changes to its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w:t>
      </w:r>
    </w:p>
    <w:p>
      <w:pPr>
        <w:spacing w:after="0" w:line="17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143" w:lineRule="exact"/>
        <w:rPr>
          <w:sz w:val="20"/>
          <w:szCs w:val="20"/>
          <w:color w:val="auto"/>
        </w:rPr>
      </w:pPr>
    </w:p>
    <w:p>
      <w:pPr>
        <w:ind w:left="200" w:right="60" w:firstLine="441"/>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long-lived assets, including leasehold improvements, property and equipment and amortized intangible assets,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165" w:lineRule="exact"/>
        <w:rPr>
          <w:sz w:val="20"/>
          <w:szCs w:val="20"/>
          <w:color w:val="auto"/>
        </w:rPr>
      </w:pPr>
    </w:p>
    <w:p>
      <w:pPr>
        <w:ind w:left="200" w:firstLine="441"/>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the cost of acquired businesses over the fair market value of their identifiable net assets. We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a 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2018, 2017 and 2016, Active Nutrition performed a quantitative impairment test for all three of its reporting units.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Under ASU 2017-04, “Intangibles—Goodwill and Other (Topic 350): Simplifying the Test for Goodwill Impairment,” which was early adopted on a prospective basis in the fourth quarter of fiscal 2017, 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unit. The estimated fair values of each reporting unit were determined using a combined income and market 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Prior to the adoption of ASU 2017-04 in fiscal 2017, the impairment test required a two-step quantitative evaluation. Step one of the evaluation involved comparing the current fair value of each reporting unit to its carrying value, including goodwill, consistent with the description above. If the fair value of a reporting unit determined in step one of the evaluation was lower than its carrying value, we proceeded to step two, which compared the carrying value of goodwill to its implied fair value. In estimating the implied fair value of goodwill for a reporting unit, we assigned the fair value of the reporting unit (as determined in the first step) to the assets and liabilities associated with the reporting unit as if the reporting unit had been acquired in a business combination. Any excess of the carrying value of goodwill of the reporting unit over its implied fair value would be recorded as impairment.</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Active Nutrition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As the application of ASU 2017-04 does not require step two of the analysis prescribed prior to the adoption of ASU 2017-04, Active Nutrition recorded an impairment charge of goodwill down to fair value. At the time of the analysis, the Dymatize reporting unit had $26.5 million of remaining goodwill, and therefore an impairment charge was recorded for the entire goodwill balance of $26.5 million.</w:t>
      </w:r>
    </w:p>
    <w:p>
      <w:pPr>
        <w:spacing w:after="0" w:line="16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Active Nutrition did not record a goodwill impairment charge at September 30, 2016. With the exception of the Dymatize reporting unit, all reporting units passed the first step of the impairment test. The Dymatize reporting unit failed step one, and accordingly, step two of the analysis was performed. Based on the results of step two, it was determined that the fair value of the goodwill allocated to the Dymatize reporting unit exceeded its carrying value by approximately $36.0 million and was therefore not impaired as of September 30, 2016. At September 30, 2016, the estimated fair values of all other reporting units exceeded their carrying values by more than 100%.</w:t>
      </w:r>
    </w:p>
    <w:p>
      <w:pPr>
        <w:spacing w:after="0" w:line="184" w:lineRule="exact"/>
        <w:rPr>
          <w:sz w:val="20"/>
          <w:szCs w:val="20"/>
          <w:color w:val="auto"/>
        </w:rPr>
      </w:pPr>
    </w:p>
    <w:p>
      <w:pPr>
        <w:ind w:left="200" w:right="40" w:firstLine="441"/>
        <w:spacing w:after="0" w:line="292"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estimate income tax expense based on taxes in each jurisdiction. We estimate current tax exposures together with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See Note 6 of “Notes to Combined Financial Statements” for the years ended September 30, 2018, 2017 and 2016 and Note 4 of “Notes to Condensed Combined Financial Statements” for the nine months ended June 30, 2019 and 2018 for more information about estimates affecting income taxes.</w:t>
      </w:r>
    </w:p>
    <w:p>
      <w:pPr>
        <w:spacing w:after="0" w:line="39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See Note 3 of “Notes to Combined Financial Statements” for the years ended September 30, 2018, 2017 and 2016 and Notes 2 and 3 of “Notes to Condensed Combined Financial Statements” for the nine months ended June 30, 2019 and 2018 for a discussion regarding recently issued and adopted accounting standards.</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See “Commodity Trends,” “Liquidity and Capital Resources” and “Currency” above for discussion of our market risks relating to commodity prices, future debt and foreign currency.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240" w:top="459"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target a broad range of consumers and compete in all major product forms, including RTD protein shakes, powders and nutrition bars. Our products are distributed across a diverse network of channels including club,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84" w:lineRule="exact"/>
        <w:rPr>
          <w:sz w:val="20"/>
          <w:szCs w:val="20"/>
          <w:color w:val="auto"/>
        </w:rPr>
      </w:pPr>
    </w:p>
    <w:p>
      <w:pPr>
        <w:ind w:left="1180" w:right="980" w:hanging="544"/>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 know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Better Together. </w:t>
      </w:r>
      <w:r>
        <w:rPr>
          <w:rFonts w:ascii="Arial" w:cs="Arial" w:eastAsia="Arial" w:hAnsi="Arial"/>
          <w:sz w:val="18"/>
          <w:szCs w:val="18"/>
          <w:color w:val="auto"/>
        </w:rPr>
        <w:t>We value each member of our team and know that success is only achievable through our collective efforts.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coach rather than tell and work hard to build people up through encouragement and empowerment.</w:t>
      </w:r>
    </w:p>
    <w:p>
      <w:pPr>
        <w:spacing w:after="0" w:line="75"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We believe our largest brand,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one of the top growth brands in the U.S. convenient nutrition category based on Nielsen data for Total US xAOC including Convenience for the 52 week period ended August 3, 2019 and is positioned to appeal to mainstream consumers focused on healthy nutrition.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holds the #1 share position in the convenient nutrition category and RTD protein shakes as measured by Nielsen household panel data for all outlets for the 52 week period ended July 27, 2019.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grew at a CAGR of 42% from fiscal 2016 to fiscal 2018.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brand is a market leader targeting fitness enthusiasts, who value the brand for its science-based product development and athletic performance focus. Our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is one of the most well-known brands in the convenient nutrition category based on a survey powered by Qualtrics performed in June 2019 and targets a range of consumers from committed athletes to active individuals.</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diverse product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169545</wp:posOffset>
            </wp:positionV>
            <wp:extent cx="5120005" cy="31559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2000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60"/>
          </w:cols>
          <w:pgMar w:left="24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840"/>
        <w:spacing w:after="0"/>
        <w:tabs>
          <w:tab w:leader="none" w:pos="69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94615</wp:posOffset>
            </wp:positionV>
            <wp:extent cx="5866130" cy="18783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613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1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Fiscal 2018 Net Sales By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172085</wp:posOffset>
            </wp:positionV>
            <wp:extent cx="1818005" cy="14662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1800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more frequently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the need state where we have our largest presence, is the fastest-growing need state in the category based on Nielsen data for Total US xAOC including Convenience for the 52 week period ended August 8, 2015 and the comparable period in 2019 and spans a range of consumption occasions, including breakfast, snack, meal replacement and treat. In the U.S., management estimates that the everyday nutrition need state accounted for $3.2 billion in sales for the 52 week period ended August 3, 2019 and grew at a 17% CAGR from 2015 to 2019, based on data from Nielsen for Total US xAOC including Convenience.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is positioned to satisfy not only the everyday nutrition consumer need state, but also to appeal to the adult nutrition, sports nutrition and weight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Consumers in the U.S. and internationally purchase our products through several channels including club, FDM, eCommerce (such as Amazon), convenience (such as 7-Eleven) and specialty (such as The Vitamin Shoppe). We maintain a strong leadership position in the club channel based on Nielsen household panel data for the 52 week period ended July 27, 2019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65"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We were formed as a Delaware corporation in 2019 for the purpose of completing this offering. BellRing Brands, LLC is the holder of Post’s Active Nutrition business, which, effective as of the fiscal quarter ended June 30, 2015, has been comprised of Premier Nutrition, Dymatize Enterprises and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and also includes Active Nutrition International, which manufactures and sells products of Post’s Active Nutrition business in certain international markets.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brands were pioneers in their respective markets and were key drivers behind the formation and growth of the convenient nutrition category as a whole. Post brought these leading brands together to create a diverse portfolio of high-quality, great-tasting and convenient nutrition products under Post’s Active Nutrition umbrella.</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In fiscal 2013, Post acquired Premier Nutrition, which, at the time, was a marketer and distributor of high quality protein shakes and nutrition bars under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nutritional supplements under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brand. Premier Nutrition, Inc. was founded in 1997, and Joint Juice, Inc. was founded in 1999. In 2011, Joint Juice, Inc. acquired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related assets from Premier Nutrition, Inc. via a corporate restructuring, and the resulting entity assumed the name Premier Nutrition Corporation. Premier Nutrition’s products are primarily manufactured under co-manufacturing agreements at various third party facilities located in the U.S. and Europe, with the exception of a portion of Premier Nutrition’s nutrition bars manufactured at our Voerde, Germany facility.</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 xml:space="preserve">In fiscal 2014, Post acquired Dymatize Enterprises, which, at the time, was a manufacturer and marketer of high-quality protein powders and nutritional supplements under the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and nutrition bars under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Dymatize Enterprises was founded in 1994 and purchased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in 2012. At the time of the Post acquisition,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manufactured by Dymatize Enterprises at its manufacturing facility in Farmers Branch, Texas and by various co-manufacturers. By the end of fiscal 2015, Dymatize Enterprises transferred all production to third parties under co-manufacturing agreements and ceased in-house production. In fiscal 2017, Dymatize Enterprises sold its manufacturing facility.</w:t>
      </w:r>
    </w:p>
    <w:p>
      <w:pPr>
        <w:spacing w:after="0" w:line="19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 xml:space="preserve">In fiscal 2015, Post acquired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and </w:t>
      </w:r>
      <w:r>
        <w:rPr>
          <w:rFonts w:ascii="Arial" w:cs="Arial" w:eastAsia="Arial" w:hAnsi="Arial"/>
          <w:sz w:val="18"/>
          <w:szCs w:val="18"/>
          <w:i w:val="1"/>
          <w:iCs w:val="1"/>
          <w:color w:val="auto"/>
        </w:rPr>
        <w:t>Musashi</w:t>
      </w:r>
      <w:r>
        <w:rPr>
          <w:rFonts w:ascii="Arial" w:cs="Arial" w:eastAsia="Arial" w:hAnsi="Arial"/>
          <w:sz w:val="18"/>
          <w:szCs w:val="18"/>
          <w:color w:val="auto"/>
        </w:rPr>
        <w:t xml:space="preserve"> brands, Active Nutrition International (formerly known as PowerBar Europe GmbH) and manufacturing facilities in Boise, Idaho and Voerde, Germany.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 was founded in 1986. In fiscal 2015, Post sold the</w:t>
      </w:r>
      <w:r>
        <w:rPr>
          <w:rFonts w:ascii="Arial" w:cs="Arial" w:eastAsia="Arial" w:hAnsi="Arial"/>
          <w:sz w:val="18"/>
          <w:szCs w:val="18"/>
          <w:i w:val="1"/>
          <w:iCs w:val="1"/>
          <w:color w:val="auto"/>
        </w:rPr>
        <w:t xml:space="preserve"> Musashi </w:t>
      </w:r>
      <w:r>
        <w:rPr>
          <w:rFonts w:ascii="Arial" w:cs="Arial" w:eastAsia="Arial" w:hAnsi="Arial"/>
          <w:sz w:val="18"/>
          <w:szCs w:val="18"/>
          <w:color w:val="auto"/>
        </w:rPr>
        <w:t>brand. In that same fiscal year, Post also ceased all production at,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thereafter sold, the Boise manufacturing facility. All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are 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operate in the $32.7 billion global convenient nutrition category based on Euromonitor data for 2018, a rapidly-growing and on-trend category within food and beverage. The U.S. is our primary market and is the largest and most developed market in the world, accounting for $17.1 billion of category sales in 2018 based on Euromonitor data. In the U.S., based on Euromonitor data, the convenient nutrition category grew at a CAGR of 9% from 2014 to 2018.</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approximately 38% of the U.S. market is comprised of tracked channels with the remaining 62% in untracked channels (Costco, eCommerce, natural, specialty, vending and foodservice). Bars, RTDs and powders are the three primary product forms in the U.S. According to Nielsen data for Total US xAOC including Convenience for the 52 week period ended August 3, 2019, bars have a 50% dollar share, RTDs have a 39% dollar share and powders have an 11% dollar share. However, management believes the powder share for the total U.S. market (tracked and untracked) is significantly greater than the 11% share in tracked channels.</w:t>
      </w: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 Convenient Nutrition Category by Product Form</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Tracked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160020</wp:posOffset>
            </wp:positionV>
            <wp:extent cx="2752725" cy="2195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5272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Source: Nielsen, Total US xAOC including Convenience, 52 week period ended 8/3/2019</w:t>
      </w:r>
    </w:p>
    <w:p>
      <w:pPr>
        <w:spacing w:after="0" w:line="20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believe the U.S. convenient nutrition category can be broken down into four key consumer need states as defined by management based on a category study performed by Seurat Group in May 2018: everyday nutrition, adult nutrition, sports nutrition and weight management. Using data from Nielsen for Total US xAOC including Convenience for the 52 week period ended August 3, 2019, management estimates that, excluding the private label and other sales from the category (which account for 5% and 3%, respectively, of the sales in the category), everyday nutrition represents a 50% share of the category, adult nutrition represents a 17% share of the category, sports nutrition represents a 16% share of the category and weight management represents a 17% share of the category. We primarily compete in the everyday nutrition and sports nutrition consumer need states, but also appeal to the adult nutrition and weight management consumer need states. Management expects that global consumer need states mirror U.S. need states to varying degrees depending upon market development.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tracked channels of the U.S. convenient nutrition category are broken down by need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169545</wp:posOffset>
            </wp:positionV>
            <wp:extent cx="5017135" cy="41852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1713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Everyday nutrition is the largest, fastest-growing need state in the category based on Nielsen data for Total US xAOC including Convenience for the 52 week period ended August 8, 2015 and the comparable period in 2019 and spans a range of consumption occasions (breakfast, snack, meal replacement and treat). We define everyday nutrition as nutritious products that can be consumed throughout the day as part of a healthy lifestyle. While we believe most brands in the convenient nutrition category are positioned to appeal to consumers primarily in one need state,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developed brand equities and product value propositions to appeal to a broad range of consumer need states.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brands are focused primarily on sports nutrition, which we define as consumers looking to supplement sports endurance and body building needs.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rapid rise of the convenient nutrition category is fueled by a growing awareness among mainstream consumers of the importance of health and nutrition and the increasing importance of snacking in consumers’ diets. Everyday consumers are focused on incorporating healthier food and beverage alternatives into their diets to support a balanced lifestyle. According to a 2019 Label Insights report, 63% of American consumers said they are trying to eat healthier. A Nielsen 2018 Consumer Insights article shows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In addition, the IRI 2019 State of the Snack Food Industry report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80"/>
          </w:cols>
          <w:pgMar w:left="24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highlights that consumers are increasingly eating more frequently throughout the day and 47% of consumers snack more than three times a day. In fact, according to Mintel’s 2019 report, Snacking Motivations and Attitudes, 95% of U.S. adults snack daily. These statistics reflect the broader trend that mainstream consumers, not just fitness enthusiasts, are increasingly looking for convenient, protein-enriched food and beverage products that can be consumed on-the-go as nutritious snacks or as meal replacements.</w:t>
      </w:r>
    </w:p>
    <w:p>
      <w:pPr>
        <w:spacing w:after="0" w:line="18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“Mainstreaming” convenient nutrition is fueling growth in the category across all forms, with total U.S. household penetration reaching 55% for the 52 week period ended July 27, 2019 (an increase from 52% for the 52 week period ended July 1, 2017) according to Nielsen household panel data for all outlets. Nutritional drinks, including protein shakes, are increasingly being used as convenient and nutritious meal replacements, as illustrated by a 2016 Mintel report revealing that 39% of consumers use nutritional and performance drinks as a substitute for breakfast. In addition, according to the same report, three in five consumers use nutritional and performance drinks as a meal replacement, and 48% of consumers consume them as part of a meal, up from just 20% in 2012. Protein powders are gaining more shelf space in traditional retail channels such as grocery and convenience based on Nielsen data for Total US xAOC including Convenience for the 52 week period ended August 10, 2019. Management believes there is a significant growth opportunity in liquids and powders as household penetration for the 52 week period ended July 27, 2019 according to Nielsen household panel data for all outlets was only 24% for liquids and 11% for powders, compared to 43% for bars.</w:t>
      </w:r>
    </w:p>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U.S. market is the largest and most developed market in the convenient nutrition category. However, we believe the international market remains a sizeable and underdeveloped opportunity where our Company is positioned for success. The $15.6 billion international convenient nutrition category based on Euromonitor data for 2018 consists of developed established markets such as Western Europe, the U.K., Japan and Australia and large emerging markets such as China, India and Brazil.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 and is expected to grow to $21.2 billion by 2021.</w:t>
      </w:r>
    </w:p>
    <w:p>
      <w:pPr>
        <w:spacing w:after="0" w:line="166"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Nevertheless, research published in 2018 found that roughly 40% of participants still did not meet current daily protein recommendations according to U.S. News &amp; World Report. Furthermore, approximately one in three U.S. adults are obese and more than 100 million Americans have diabetes or are pre-diabetic according to the Center for Disease Control and Prevention, and 90% of Americans eat more sodium than is recommended according to the American Heart Association, Inc. Additionally, as the IRI 2019 State of the Snack Food Industry report highlights, consumers are increasingly eating more frequently throughout the day, with 47% of consumers snacking more than three times a day. In fact, according to Mintel’s 2019 report, Snacking Motivations and Attitudes, 95% of U.S. adults snack daily.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24% and 11%, respectively, versus 43% for bars for the 52 week period ended July 27, 2019 according to Nielsen household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panel data for all outlets. These statistics, together with a modest household penetration of just 5% for our RTD protein shakes for the 52 week period ended July 27, 2019 according to Nielsen household panel data for all outlets, demonstrate our significant room for further growth.</w:t>
      </w:r>
    </w:p>
    <w:p>
      <w:pPr>
        <w:spacing w:after="0" w:line="14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Flagship Brand Supported by Other Well-Recognized Brands with Growth Potential</w:t>
      </w:r>
    </w:p>
    <w:p>
      <w:pPr>
        <w:spacing w:after="0" w:line="11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our flagship brand and is supported by a portfolio of other well-recognized brands with growth potential.</w:t>
      </w:r>
      <w:r>
        <w:rPr>
          <w:rFonts w:ascii="Arial" w:cs="Arial" w:eastAsia="Arial" w:hAnsi="Arial"/>
          <w:sz w:val="17"/>
          <w:szCs w:val="17"/>
          <w:i w:val="1"/>
          <w:iCs w:val="1"/>
          <w:color w:val="auto"/>
        </w:rPr>
        <w:t xml:space="preserve"> Premier Protein </w:t>
      </w:r>
      <w:r>
        <w:rPr>
          <w:rFonts w:ascii="Arial" w:cs="Arial" w:eastAsia="Arial" w:hAnsi="Arial"/>
          <w:sz w:val="17"/>
          <w:szCs w:val="17"/>
          <w:color w:val="auto"/>
        </w:rPr>
        <w:t>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positioned to appeal to mainstream consumers seeking convenient, delicious protein products they can enjoy throughout the day. Our 11 ounce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RTD shake epitomizes this brand commitment, providing a great-tasting, on-the-go beverage with 30 grams of protein and only one gram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The brand has achieved category-leading share requirements and repeat purchase frequencies for liquid brands with sales greater than $2.0 million based on Nielsen household panel data for all outlets for the 52 week period ended July 27, 2019. In addition, 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some of the highest product velocity rates in the convenient nutrition RTD category in the FDM channel based on Nielsen tracked channels data for the 52 week period ended August 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holds the #1 share in the convenient nutrition category and the convenient nutrition RTD category based on Nielsen household panel data for all outlets for the 52 week period ended July 27, 2019.</w:t>
      </w:r>
    </w:p>
    <w:p>
      <w:pPr>
        <w:spacing w:after="0" w:line="18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entry into club and mass, which remain large growth opportunities.</w:t>
      </w:r>
    </w:p>
    <w:p>
      <w:pPr>
        <w:spacing w:after="0" w:line="18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 June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7"/>
          <w:szCs w:val="17"/>
          <w:i w:val="1"/>
          <w:iCs w:val="1"/>
          <w:color w:val="auto"/>
        </w:rPr>
        <w:t xml:space="preserve">PowerBar </w:t>
      </w:r>
      <w:r>
        <w:rPr>
          <w:rFonts w:ascii="Arial" w:cs="Arial" w:eastAsia="Arial" w:hAnsi="Arial"/>
          <w:sz w:val="17"/>
          <w:szCs w:val="17"/>
          <w:color w:val="auto"/>
        </w:rPr>
        <w:t>is positioned as a high-quality brand both in the U.S. and internationally and has a notable presence in Western Europe.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delivers products with high protein and superior taste. The brand’s RTD protein shakes are formulated to deliver leading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certain of our RTD protein shake flavors were awarded the American Masters of Taste Gold Medal for 2015, 2016, 2017, 2018 and 2019. We recently have accelerated our efforts to expand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portfolio to include new flavors, powders and nutrition bars.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is a fast absorbing, easily digestible and easily soluble powder.</w:t>
      </w:r>
      <w:r>
        <w:rPr>
          <w:rFonts w:ascii="Arial" w:cs="Arial" w:eastAsia="Arial" w:hAnsi="Arial"/>
          <w:sz w:val="17"/>
          <w:szCs w:val="17"/>
          <w:i w:val="1"/>
          <w:iCs w:val="1"/>
          <w:color w:val="auto"/>
        </w:rPr>
        <w:t xml:space="preserve"> ISO100 </w:t>
      </w:r>
      <w:r>
        <w:rPr>
          <w:rFonts w:ascii="Arial" w:cs="Arial" w:eastAsia="Arial" w:hAnsi="Arial"/>
          <w:sz w:val="17"/>
          <w:szCs w:val="17"/>
          <w:color w:val="auto"/>
        </w:rPr>
        <w:t>won the “Isolate Protein of the Year” award for 2013 through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 of the annual Bodybuilding.com Supplement Awards. It also is known for its exceptional taste which, combined with its leading nutritional attributes, has allowed the brand to develop a large and loyal consumer following. As of July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has expanded its product portfolio to include a natural vegan protein bar and protein bars fortified with calcium and magnesium.</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Our sales in the club channel grew at a 31% CAGR from fiscal 2016 to fiscal 2018.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club, mass and drug customers as well as several regional grocery customers.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200" w:right="540" w:firstLine="441"/>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an attractive financial profile with a track record of significant organic growth. Net sales have grown organically from $574.7 million in fiscal 2016 to $827.5 million in fiscal 2018, representing a CAGR of 20%. Similarly, net income grew from $19.9 million in fiscal 2016 to $96.1 million in fiscal 2018, representing a CAGR of 120%, Adjusted net earnings grew from $29.3 million in fiscal 2016 to $93.3 million in fiscal 2018,</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representing a CAGR of 78% and Adjusted EBITDA grew from $72.0 million in fiscal 2016 to $156.5 million in fiscal 2018, representing a CAGR of 47%. See “Explanation and Reconciliation of Non-GAAP Measures” for a reconciliation of Adjusted net earnings and Adjusted EBITDA, each a non-GAAP measure, to the most directly comparable GAAP measure. In addition, our operating margin profile benefits from the quality of our brand portfolio and our lean organization structure. Our asset-light business model requires modest capital expenditures, with annual capital expenditures averaging less than 1% of net sales over the last three years. Our margin profile, along with our capital expenditure-light model and limited working capital requirements, drive consistently high cash flow generation, providing significant financial flexibility to continue to reinvest in our business and pursue value enhancing acquisition opportunities as they arise.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3"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141605</wp:posOffset>
            </wp:positionV>
            <wp:extent cx="4853940" cy="38931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5394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the convenient nutrition category and RTD protein shakes as measured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Nielsen household panel data for all outlets for the 52 week period ended July 27, 2019. However, household penetration for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is 5% (compared to 24% for liquids in the convenient nutrition category) for the 52 week period ended July 27, 2019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can play in healthy and active lifestyles. We plan to continue</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24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3" w:lineRule="auto"/>
        <w:rPr>
          <w:sz w:val="20"/>
          <w:szCs w:val="20"/>
          <w:color w:val="auto"/>
        </w:rPr>
      </w:pPr>
      <w:r>
        <w:rPr>
          <w:rFonts w:ascii="Arial" w:cs="Arial" w:eastAsia="Arial" w:hAnsi="Arial"/>
          <w:sz w:val="16"/>
          <w:szCs w:val="16"/>
          <w:color w:val="auto"/>
        </w:rPr>
        <w:t xml:space="preserve">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6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among fitness enthusiasts via our global network of athlete brand ambassadors, along with increased advertising to enhance consumer connection via digital channels and our social media outlets.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August 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initial dollar velocities versus its competitors based on data from Nielsen for Total US xAOC including Convenience for the 13 week period ended July 27, 2019.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9"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since the end of fiscal 2015 and accounted for 25% of fiscal 2018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We expect to introduce two additional flavors in the fall of 2019. We also have improved the taste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powder and nutrition bar formulations to ensure we continue to delight consumers. We believe our new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powder offering has achieved top 10% category velocities in FDM since its launch in December 2017 based on Nielsen tracked channels data for the 52 week period ended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 xml:space="preserve">August 3,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August 10, 2019. We launched this platform across both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The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RTD product is now distributed nationwide in Costco and other key retailers.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continues to be a leader in disruptive product innovation with several leading products for its core enthusiasts, the most recent being </w:t>
      </w:r>
      <w:r>
        <w:rPr>
          <w:rFonts w:ascii="Arial" w:cs="Arial" w:eastAsia="Arial" w:hAnsi="Arial"/>
          <w:sz w:val="18"/>
          <w:szCs w:val="18"/>
          <w:i w:val="1"/>
          <w:iCs w:val="1"/>
          <w:color w:val="auto"/>
        </w:rPr>
        <w:t>All9 Amino</w:t>
      </w:r>
      <w:r>
        <w:rPr>
          <w:rFonts w:ascii="Arial" w:cs="Arial" w:eastAsia="Arial" w:hAnsi="Arial"/>
          <w:sz w:val="18"/>
          <w:szCs w:val="18"/>
          <w:color w:val="auto"/>
        </w:rPr>
        <w:t>, a supplement that provides the nine essential amino acids for optimal muscle protein synthesis.</w:t>
      </w:r>
    </w:p>
    <w:p>
      <w:pPr>
        <w:spacing w:after="0" w:line="192"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and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in Canada.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have near and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U.K., Japan and Australia.</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 xml:space="preserve">Our portfolio consists of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and two secondary brands,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Together our brands cover the major product forms in the convenient nutrition category and appeal to a broad range of consumer need states.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a leading mainstream, lifestyle brand, holding the #1 share position in the convenient nutrition category and the convenient</w:t>
      </w:r>
      <w:r>
        <w:rPr>
          <w:rFonts w:ascii="Arial" w:cs="Arial" w:eastAsia="Arial" w:hAnsi="Arial"/>
          <w:sz w:val="17"/>
          <w:szCs w:val="17"/>
          <w:i w:val="1"/>
          <w:iCs w:val="1"/>
          <w:color w:val="auto"/>
        </w:rPr>
        <w:t xml:space="preserve"> </w:t>
      </w:r>
      <w:r>
        <w:rPr>
          <w:rFonts w:ascii="Arial" w:cs="Arial" w:eastAsia="Arial" w:hAnsi="Arial"/>
          <w:sz w:val="17"/>
          <w:szCs w:val="17"/>
          <w:color w:val="auto"/>
        </w:rPr>
        <w:t>nutrition RTD category as measured by Nielsen household panel data for all outlets for the 52 week period ended July 27, 2019.</w:t>
      </w:r>
    </w:p>
    <w:p>
      <w:pPr>
        <w:spacing w:after="0" w:line="14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a unique appeal to mainstream consumers looking for convenient, nutritious and great-tasting products they can incorporate into their daily routines. The brand is committed to delivering high protein and superior tasting products that consumers can enjoy on-the-go. </w:t>
      </w:r>
      <w:r>
        <w:rPr>
          <w:rFonts w:ascii="Arial" w:cs="Arial" w:eastAsia="Arial" w:hAnsi="Arial"/>
          <w:sz w:val="17"/>
          <w:szCs w:val="17"/>
          <w:i w:val="1"/>
          <w:iCs w:val="1"/>
          <w:color w:val="auto"/>
        </w:rPr>
        <w:t>Premier Protein</w:t>
      </w:r>
      <w:r>
        <w:rPr>
          <w:rFonts w:ascii="Arial" w:cs="Arial" w:eastAsia="Arial" w:hAnsi="Arial"/>
          <w:sz w:val="17"/>
          <w:szCs w:val="17"/>
          <w:color w:val="auto"/>
        </w:rPr>
        <w:t>’s mainstream relevance and approachable positioning allow the brand to capture multiple consumption occasions (breakfast, snack, meal replacement and treat) and appeal to a broad range of consumer need states. As a result, we believe it has been one of the few brands in the category that has successfully expanded across consumer types as well as product forms.</w:t>
      </w:r>
    </w:p>
    <w:p>
      <w:pPr>
        <w:spacing w:after="0" w:line="1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one of the top growth brands in the U.S. convenient nutrition category based on Nielsen data for Total US xAOC including Convenience the 52 week period ended August 3, 2019. In Nielsen tracked channels, our RTD protein shake sales have organically grown at a 56% CAGR from 2015 to 2019 based on Nielsen data for Total US xAOC including Convenience for the 52 week period ended August 15, 2015 and the comparable period in 2019, considerably outpacing the broader category.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growth has expanded the broader convenient nutrition category. For example,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drove 53% of convenient nutrition RTD category growth according to Nielsen data for Total US xAOC including Convenience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’s organic growth is fueled by our consumers’ loyalty to and love for the brand and its products, as new users are often introduced by their friends, families or health care providers.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’s product characteristics and category-leading consumer loyalty differentiate the brand from its RTD competitors.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Nielsen consumer metrics, we believe the brand’s RTD protein shakes outpace its competition in buy rate, purchase size, repeat rate and share of requirements. In addition, based on sales volumes from the last twelve months ended June 30, 2019, management estimates that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sold 17 RTD shakes per second. Despite these metrics, according to Nielsen household panel data for all outlets for the 52 week period ended July 27, 2019, the U.S. household penetration rate for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of 5% remains well below the household penetration rate for liquids in the convenient nutrition category of 24%, which we believe underscores the brand’s significant runway for growth.</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Key Metric: Nielsen Household Panel, All Outlets, 52 week period ended 7/27/19</w:t>
            </w:r>
          </w:p>
        </w:tc>
        <w:tc>
          <w:tcPr>
            <w:tcW w:w="2220" w:type="dxa"/>
            <w:vAlign w:val="bottom"/>
          </w:tcPr>
          <w:p>
            <w:pPr>
              <w:jc w:val="right"/>
              <w:ind w:right="133"/>
              <w:spacing w:after="0"/>
              <w:rPr>
                <w:sz w:val="20"/>
                <w:szCs w:val="20"/>
                <w:color w:val="auto"/>
              </w:rPr>
            </w:pPr>
            <w:r>
              <w:rPr>
                <w:rFonts w:ascii="Arial" w:cs="Arial" w:eastAsia="Arial" w:hAnsi="Arial"/>
                <w:sz w:val="14"/>
                <w:szCs w:val="14"/>
                <w:b w:val="1"/>
                <w:bCs w:val="1"/>
                <w:color w:val="auto"/>
              </w:rPr>
              <w:t>Premier Protein RTD Shakes</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Rate</w:t>
            </w:r>
          </w:p>
        </w:tc>
        <w:tc>
          <w:tcPr>
            <w:tcW w:w="14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rPr>
              <w:t>$ 67.2</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Purchase Size</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$ 23.2</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Repeat Rate</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Share of Requirements (Loyalty)</w:t>
            </w:r>
          </w:p>
        </w:tc>
        <w:tc>
          <w:tcPr>
            <w:tcW w:w="2220" w:type="dxa"/>
            <w:vAlign w:val="bottom"/>
          </w:tcPr>
          <w:p>
            <w:pPr>
              <w:jc w:val="right"/>
              <w:ind w:right="813"/>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Household Penetration</w:t>
            </w:r>
          </w:p>
        </w:tc>
        <w:tc>
          <w:tcPr>
            <w:tcW w:w="22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Premier Protein</w:t>
      </w:r>
      <w:r>
        <w:rPr>
          <w:rFonts w:ascii="Arial" w:cs="Arial" w:eastAsia="Arial" w:hAnsi="Arial"/>
          <w:sz w:val="18"/>
          <w:szCs w:val="18"/>
          <w:color w:val="auto"/>
        </w:rPr>
        <w:t>’s product portfolio consists of RTD protein shakes, refreshing protein beverages, nutrition bars and protein powders.</w:t>
      </w:r>
      <w:r>
        <w:rPr>
          <w:rFonts w:ascii="Arial" w:cs="Arial" w:eastAsia="Arial" w:hAnsi="Arial"/>
          <w:sz w:val="18"/>
          <w:szCs w:val="18"/>
          <w:i w:val="1"/>
          <w:iCs w:val="1"/>
          <w:color w:val="auto"/>
        </w:rPr>
        <w:t xml:space="preserve"> Premier Protein</w:t>
      </w:r>
      <w:r>
        <w:rPr>
          <w:rFonts w:ascii="Arial" w:cs="Arial" w:eastAsia="Arial" w:hAnsi="Arial"/>
          <w:sz w:val="18"/>
          <w:szCs w:val="18"/>
          <w:color w:val="auto"/>
        </w:rPr>
        <w:t>’s flagship 11 ounce RTD protein shakes contain 30 grams of protein with only one gram of sugar and 160 calories. They are gluten-and soy-free,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low fat and fortified with 24 vitamins and minerals. Our RTD protein shakes are formulated to deliver great-tasting, leading protein levels while maintaining one of the leanest nutritional profiles in the category (as measured by sugar and calorie content). The product profile appeals to consumers across age ranges in all four need states. </w:t>
      </w:r>
      <w:r>
        <w:rPr>
          <w:rFonts w:ascii="Arial" w:cs="Arial" w:eastAsia="Arial" w:hAnsi="Arial"/>
          <w:sz w:val="18"/>
          <w:szCs w:val="18"/>
          <w:i w:val="1"/>
          <w:iCs w:val="1"/>
          <w:color w:val="auto"/>
        </w:rPr>
        <w:t>Premier Protein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RTD shakes are available in a variety of flavors including chocolate, vanilla, cookies &amp; cream, caramel, bananas &amp; cream, strawberries &amp; cream and peaches &amp; cream. Two additional flavors will be introduced in the fall of 2019.</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has accelerated efforts to expand its portfolio of high protein products across new product forms. The brand recently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protein powders and refreshing protein beverages and launched a new nutrition bar line in fiscal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powder portfolio consists of 100% whey protein products that contain 30 grams of protein and three grams of sugar and are available in vanilla and chocolate flavors. In refreshing protein beverages,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launched a delicious Clear 20 gram protein drink with 90 calories and 0 grams of sugar. The Clear protein drink is available in multiple flavors, including tropical punch, raspberry and orange mango. Our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beverages are positioned as thirst quenching, functional products that deliver to consumers refreshing protein beverages with no sugar. Refreshing protein beverages is an emerging space in the convenient nutrition category.</w:t>
      </w:r>
    </w:p>
    <w:p>
      <w:pPr>
        <w:spacing w:after="0" w:line="18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i w:val="1"/>
          <w:iCs w:val="1"/>
          <w:color w:val="auto"/>
        </w:rPr>
        <w:t>Premier Protein</w:t>
      </w:r>
      <w:r>
        <w:rPr>
          <w:rFonts w:ascii="Arial" w:cs="Arial" w:eastAsia="Arial" w:hAnsi="Arial"/>
          <w:sz w:val="18"/>
          <w:szCs w:val="18"/>
          <w:color w:val="auto"/>
        </w:rPr>
        <w:t>’s portfolio includes a nutrition bar offering 30 grams of protein and three grams of fiber with no artificial sweeteners. The nutrition bars are gluten-free, are a good source of calcium and iron and come in a variety of flavors. The nutrition bars deliver high protein, great-tasting portable nutrition. We also expanded the portfolio in fiscal 2019 to deliver a new indulgent 20 gram nutrition bar with superior taste and texture to appeal to more mainstream consumers.</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Internationally,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can be found in major Canadian retailers and recently has expanded its high protein offerings into Europe with five nutrition bars and two protein powders.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nutrition bars have achieved the first, second and third highest velocities for branded sports protein bars according to German Nielsen MarketTrack data for the grocery and drug channels for June 2019 and, we believe, continue to have strong growth in Germany.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also is sold in the club channel in Mexico, Japan and Korea.</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still in the early stages of its expansion. We expect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to continue to grow and reach new consumers as category growth is further driven by health and wellness macro tailwinds. We also expect the brand to gain additional traction across channels, expanding its share of shelf and increasing exposure points both domestically and abroad. Based on Nielsen data for Total US x AOC including Convenience for the 52 week period ended August 10,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maintain only a 5% share of shelf space within the convenient nutrition RTD category, but generate 16% of the sales. We believe these statistics demonstrate the opportunity for growth. We intend to innovate across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portfolio, bringing new flavors and products to our loyal consumer base.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sets the standard for athletic nutrition. It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The majority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sales are generated through protein powders. Our protein powder portfolio consists of three primary products: </w:t>
      </w:r>
      <w:r>
        <w:rPr>
          <w:rFonts w:ascii="Arial" w:cs="Arial" w:eastAsia="Arial" w:hAnsi="Arial"/>
          <w:sz w:val="18"/>
          <w:szCs w:val="18"/>
          <w:i w:val="1"/>
          <w:iCs w:val="1"/>
          <w:color w:val="auto"/>
        </w:rPr>
        <w:t>ISO100</w:t>
      </w:r>
      <w:r>
        <w:rPr>
          <w:rFonts w:ascii="Arial" w:cs="Arial" w:eastAsia="Arial" w:hAnsi="Arial"/>
          <w:sz w:val="18"/>
          <w:szCs w:val="18"/>
          <w:color w:val="auto"/>
        </w:rPr>
        <w:t xml:space="preserve"> made with hydrolyzed 100% Whey Protein Isolate (“WPI”), </w:t>
      </w:r>
      <w:r>
        <w:rPr>
          <w:rFonts w:ascii="Arial" w:cs="Arial" w:eastAsia="Arial" w:hAnsi="Arial"/>
          <w:sz w:val="18"/>
          <w:szCs w:val="18"/>
          <w:i w:val="1"/>
          <w:iCs w:val="1"/>
          <w:color w:val="auto"/>
        </w:rPr>
        <w:t>Elite 100% Whey</w:t>
      </w:r>
      <w:r>
        <w:rPr>
          <w:rFonts w:ascii="Arial" w:cs="Arial" w:eastAsia="Arial" w:hAnsi="Arial"/>
          <w:sz w:val="18"/>
          <w:szCs w:val="18"/>
          <w:color w:val="auto"/>
        </w:rPr>
        <w:t xml:space="preserve"> Protein and </w:t>
      </w:r>
      <w:r>
        <w:rPr>
          <w:rFonts w:ascii="Arial" w:cs="Arial" w:eastAsia="Arial" w:hAnsi="Arial"/>
          <w:sz w:val="18"/>
          <w:szCs w:val="18"/>
          <w:i w:val="1"/>
          <w:iCs w:val="1"/>
          <w:color w:val="auto"/>
        </w:rPr>
        <w:t>Super Mass Gainer</w:t>
      </w:r>
      <w:r>
        <w:rPr>
          <w:rFonts w:ascii="Arial" w:cs="Arial" w:eastAsia="Arial" w:hAnsi="Arial"/>
          <w:sz w:val="18"/>
          <w:szCs w:val="18"/>
          <w:color w:val="auto"/>
        </w:rPr>
        <w:t xml:space="preserve">. </w:t>
      </w:r>
      <w:r>
        <w:rPr>
          <w:rFonts w:ascii="Arial" w:cs="Arial" w:eastAsia="Arial" w:hAnsi="Arial"/>
          <w:sz w:val="18"/>
          <w:szCs w:val="18"/>
          <w:i w:val="1"/>
          <w:iCs w:val="1"/>
          <w:color w:val="auto"/>
        </w:rPr>
        <w:t>ISO100</w:t>
      </w:r>
      <w:r>
        <w:rPr>
          <w:rFonts w:ascii="Arial" w:cs="Arial" w:eastAsia="Arial" w:hAnsi="Arial"/>
          <w:sz w:val="18"/>
          <w:szCs w:val="18"/>
          <w:color w:val="auto"/>
        </w:rPr>
        <w:t>, the brand’s flagship product, has a global reach with sales in more than 50 countries. We believe it is the #1 selling hydrolyzed 100% WPI powder in the global convenient nutrition category. This product is well-known for its great taste and for delivering product attributes that athletes demand, including microfiltered hydrolized WPI with great absorption that is easily digestible and easily soluble.</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 xml:space="preserve">In addition to powders,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offers a suite of products to meet the needs of athletes—including pre-workout and post-workout recovery products. In late fiscal 2018,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launched a line of value-priced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products formulated for the mainstream athlete to be sold in FDM channels.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is an industry-leading brand, winning a number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Bodybuilding.com Awards, including:</w:t>
      </w:r>
    </w:p>
    <w:p>
      <w:pPr>
        <w:spacing w:after="0" w:line="116" w:lineRule="exact"/>
        <w:rPr>
          <w:sz w:val="20"/>
          <w:szCs w:val="20"/>
          <w:color w:val="auto"/>
        </w:rPr>
      </w:pPr>
    </w:p>
    <w:p>
      <w:pPr>
        <w:ind w:left="1180" w:hanging="544"/>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Best Isolate Protein of the Year (</w:t>
      </w:r>
      <w:r>
        <w:rPr>
          <w:rFonts w:ascii="Arial" w:cs="Arial" w:eastAsia="Arial" w:hAnsi="Arial"/>
          <w:sz w:val="18"/>
          <w:szCs w:val="18"/>
          <w:i w:val="1"/>
          <w:iCs w:val="1"/>
          <w:color w:val="auto"/>
        </w:rPr>
        <w:t>ISO100</w:t>
      </w:r>
      <w:r>
        <w:rPr>
          <w:rFonts w:ascii="Arial" w:cs="Arial" w:eastAsia="Arial" w:hAnsi="Arial"/>
          <w:sz w:val="18"/>
          <w:szCs w:val="18"/>
          <w:color w:val="auto"/>
        </w:rPr>
        <w:t>) (2013—2017)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Best Women’s Product of the Year (</w:t>
      </w:r>
      <w:r>
        <w:rPr>
          <w:rFonts w:ascii="Arial" w:cs="Arial" w:eastAsia="Arial" w:hAnsi="Arial"/>
          <w:sz w:val="18"/>
          <w:szCs w:val="18"/>
          <w:i w:val="1"/>
          <w:iCs w:val="1"/>
          <w:color w:val="auto"/>
        </w:rPr>
        <w:t>ISO100</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Best Gainer of the Year (Super Mass Gainer)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Breakout Product of the Year (</w:t>
      </w:r>
      <w:r>
        <w:rPr>
          <w:rFonts w:ascii="Arial" w:cs="Arial" w:eastAsia="Arial" w:hAnsi="Arial"/>
          <w:sz w:val="18"/>
          <w:szCs w:val="18"/>
          <w:i w:val="1"/>
          <w:iCs w:val="1"/>
          <w:color w:val="auto"/>
        </w:rPr>
        <w:t>PREW.O.</w:t>
      </w:r>
      <w:r>
        <w:rPr>
          <w:rFonts w:ascii="Arial" w:cs="Arial" w:eastAsia="Arial" w:hAnsi="Arial"/>
          <w:sz w:val="18"/>
          <w:szCs w:val="18"/>
          <w:color w:val="auto"/>
        </w:rPr>
        <w:t>) (2018)</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is one of the most well-known brands in the convenient nutrition category based on a survey powered by Qualtrics performed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The brand delivers nutrient dense products to fuel consumers with ambitious, athletic lifestyles.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is positioned as a high-quality brand internationally and has a notable presence in Western Europe. The brand also has recently expanded into eCommerce as well as the FDM channels to drive incremental scale. According to German Nielsen MarketTrack data for the grocery and drug channels,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#2 in the sports nutrition category as measured by unit sales and is the #2 energy bar brand in revenue for July 2018 to June 2019, organically growing at a CAGR of 9% from July 2017 to June 2019.</w:t>
      </w:r>
    </w:p>
    <w:p>
      <w:pPr>
        <w:spacing w:after="0" w:line="19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Due to its high brand awareness and leading sports brand equity, we believe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opportunities for further expansion through broadening FDM distribution within Western Europe, gaining incremental distribution in the Middle East, Africa and the Asia Pacific region and leveraging the brand for future innovation.</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product portfolio ranges from great-tasting protein and energy snacks for fitness enthusiasts to highly functional and technical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competitive athletes’ in-game usage. In North America,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 portfolio has been optimized to focus on its most successful product offering,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20 gram protein bar that is gluten-free and a good source of fiber.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line can be found in food, drug and convenience stores.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portfolio includes a suite of product offerings including:</w:t>
      </w:r>
    </w:p>
    <w:p>
      <w:pPr>
        <w:spacing w:after="0" w:line="127" w:lineRule="exact"/>
        <w:rPr>
          <w:sz w:val="20"/>
          <w:szCs w:val="20"/>
          <w:color w:val="auto"/>
        </w:rPr>
      </w:pPr>
    </w:p>
    <w:p>
      <w:pPr>
        <w:ind w:left="1180" w:right="260" w:hanging="544"/>
        <w:spacing w:after="0" w:line="282"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Performance Energy</w:t>
      </w:r>
      <w:r>
        <w:rPr>
          <w:rFonts w:ascii="Arial" w:cs="Arial" w:eastAsia="Arial" w:hAnsi="Arial"/>
          <w:sz w:val="18"/>
          <w:szCs w:val="18"/>
          <w:color w:val="auto"/>
        </w:rPr>
        <w:t>: Technical bars, gels, powders and supplements made with high quality ingredients that deliver functional energy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designed for specific usage occasions for committed athletes;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Muscle and Shape</w:t>
      </w:r>
      <w:r>
        <w:rPr>
          <w:rFonts w:ascii="Arial" w:cs="Arial" w:eastAsia="Arial" w:hAnsi="Arial"/>
          <w:sz w:val="17"/>
          <w:szCs w:val="17"/>
          <w:color w:val="auto"/>
        </w:rPr>
        <w:t>: High protein bars, powders and RTD protein shakes designed for muscle building and post-sports recovery; and</w:t>
      </w:r>
    </w:p>
    <w:p>
      <w:pPr>
        <w:spacing w:after="0" w:line="142" w:lineRule="exact"/>
        <w:rPr>
          <w:rFonts w:ascii="Arial" w:cs="Arial" w:eastAsia="Arial" w:hAnsi="Arial"/>
          <w:sz w:val="17"/>
          <w:szCs w:val="17"/>
          <w:color w:val="auto"/>
        </w:rPr>
      </w:pPr>
    </w:p>
    <w:p>
      <w:pPr>
        <w:ind w:left="1180" w:right="380" w:hanging="544"/>
        <w:spacing w:after="0" w:line="282"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Natural and Indulgence</w:t>
      </w:r>
      <w:r>
        <w:rPr>
          <w:rFonts w:ascii="Arial" w:cs="Arial" w:eastAsia="Arial" w:hAnsi="Arial"/>
          <w:sz w:val="18"/>
          <w:szCs w:val="18"/>
          <w:color w:val="auto"/>
        </w:rPr>
        <w:t>: Bars and drinks that offer more wholesome ingredients and provide balanced protein and energy to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to everyday active consumers.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Brands</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 xml:space="preserve">In addition to our primary brands, our portfolio includes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and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is a line of great-tasting joint health liquid supplements for baby boomers with active lifestyles.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is a line of multi-layered, indulgent protein bars targeted towards consumers seeking a nutritious, protein-enriched snack.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sell our products domestically and in more than fifty countries globally. We believe the strength of our on-trend product portfolio makes us the partner of choice for our customers, who benefit from our strong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velocities, consumer insights and proven ability to grow their sales in the convenient nutrition category. In the U.S., which represented 85% of our net sales in fiscal 2018,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14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 international markets, which represented 15% of our net sales in fiscal 2018, we sell our products through a combination of direct sales to retailers and to third party distributors. We utilize a direct sales force in key markets in the E.U. and the U.K. for multiple channels, including FDM, convenience, specialty and eCommerce. We also sell through distributors in the specialty channel.</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largest customers, Costco and Walmart and its affiliates (which includes Sam’s Club), accounted for approximately 71% of our net sales in fiscal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multi-faceted, consumer-driven marketing strategy has been instrumental in driving sales and building our brands. We maintain a dedicated marketing strategy for each of our primary brands, tailoring initiatives to each brand’s target audience.</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b w:val="1"/>
          <w:bCs w:val="1"/>
          <w:i w:val="1"/>
          <w:iCs w:val="1"/>
          <w:color w:val="auto"/>
        </w:rPr>
        <w:t>Premier Protein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s marketing strategy is aimed at accelerating the brand’s positioning as a lifestyle brand for mainstream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We target everyday consumers who are looking for a simple, approachable way to lead a healthier lifestyle. Our marketing initiatives for the brand are focused on increasing awareness to drive product trial and adoption as well as expanding household penetration among this group of consumers.</w:t>
      </w:r>
    </w:p>
    <w:p>
      <w:pPr>
        <w:spacing w:after="0" w:line="18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leads the RTD category in consumer loyalty and repeat purchases (among RTD brands with sales greater than $2.0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enthusiastic fans who grow the brand through word-of-mouth. As part of our marketing strategy, we leverage our fans’ enthusiasm for the brand to spread the word about the exceptional taste and benefits of our products. The strategic theme of our marketing for the last several years has been “Showcasing Our Fan Love,” which is centered around letting fans tell others about our leading nutritional profile and superior taste. We believe this marketing approach increases relevance, credibility and memorability among our core consumers, positioning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as a leading brand that we believe delivers a differentiated offering of nutritional products.</w:t>
      </w:r>
    </w:p>
    <w:p>
      <w:pPr>
        <w:spacing w:after="0" w:line="17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are a digital-first brand and maintain a dedicated internal digital marketing team. In addition to paid digital media, we leverage the following outlets, which we own and operate:</w:t>
      </w:r>
    </w:p>
    <w:p>
      <w:pPr>
        <w:spacing w:after="0" w:line="72" w:lineRule="exact"/>
        <w:rPr>
          <w:sz w:val="20"/>
          <w:szCs w:val="20"/>
          <w:color w:val="auto"/>
        </w:rPr>
      </w:pPr>
    </w:p>
    <w:p>
      <w:pPr>
        <w:jc w:val="both"/>
        <w:ind w:left="1180" w:right="180" w:hanging="544"/>
        <w:spacing w:after="0" w:line="266"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on our products, a source of recipes and health inspiration and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launch point to purchase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From July 2018 to August 2019, www.premierprotein.com had more than 1.4 million visitors according to Google Analytics.</w:t>
      </w:r>
    </w:p>
    <w:p>
      <w:pPr>
        <w:spacing w:after="0" w:line="81" w:lineRule="exact"/>
        <w:rPr>
          <w:rFonts w:ascii="Arial" w:cs="Arial" w:eastAsia="Arial" w:hAnsi="Arial"/>
          <w:sz w:val="18"/>
          <w:szCs w:val="18"/>
          <w:color w:val="auto"/>
        </w:rPr>
      </w:pPr>
    </w:p>
    <w:p>
      <w:pPr>
        <w:ind w:left="1180" w:right="120" w:hanging="544"/>
        <w:spacing w:after="0" w:line="282"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fastest growing social media channel. We leverage Instagram to connect with our fans and influencers, share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news and offer giveaways.</w:t>
      </w:r>
    </w:p>
    <w:p>
      <w:pPr>
        <w:spacing w:after="0" w:line="67" w:lineRule="exact"/>
        <w:rPr>
          <w:rFonts w:ascii="Arial" w:cs="Arial" w:eastAsia="Arial" w:hAnsi="Arial"/>
          <w:sz w:val="18"/>
          <w:szCs w:val="18"/>
          <w:color w:val="auto"/>
        </w:rPr>
      </w:pPr>
    </w:p>
    <w:p>
      <w:pPr>
        <w:jc w:val="both"/>
        <w:ind w:left="1180" w:hanging="544"/>
        <w:spacing w:after="0" w:line="314" w:lineRule="auto"/>
        <w:tabs>
          <w:tab w:leader="none" w:pos="118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Facebook is our highest reach social platform with approximately one million likes as of July 2019, which is the second highest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category. We also maintain a product rating of 4.6/5 stars, according to over 2,800 reviewers. Facebook is our primary social channel for sharing product news, posting motivational stories to accompany our fans on their fitness journey and answering consumer questions.</w:t>
      </w:r>
    </w:p>
    <w:p>
      <w:pPr>
        <w:spacing w:after="0" w:line="47" w:lineRule="exact"/>
        <w:rPr>
          <w:rFonts w:ascii="Arial" w:cs="Arial" w:eastAsia="Arial" w:hAnsi="Arial"/>
          <w:sz w:val="16"/>
          <w:szCs w:val="16"/>
          <w:color w:val="auto"/>
        </w:rPr>
      </w:pPr>
    </w:p>
    <w:p>
      <w:pPr>
        <w:ind w:left="1180" w:hanging="544"/>
        <w:spacing w:after="0"/>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We maintain an active email program, which we leverage to deliver information on new product launches and promotions.</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right="440" w:hanging="544"/>
        <w:spacing w:after="0" w:line="282"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Pinterest: </w:t>
      </w:r>
      <w:r>
        <w:rPr>
          <w:rFonts w:ascii="Arial" w:cs="Arial" w:eastAsia="Arial" w:hAnsi="Arial"/>
          <w:sz w:val="18"/>
          <w:szCs w:val="18"/>
          <w:color w:val="auto"/>
        </w:rPr>
        <w:t>Pinterest is a key social platform that continues to grow in followers. Our fans crave variety and often look for quick, easy</w:t>
      </w:r>
      <w:r>
        <w:rPr>
          <w:rFonts w:ascii="Arial" w:cs="Arial" w:eastAsia="Arial" w:hAnsi="Arial"/>
          <w:sz w:val="18"/>
          <w:szCs w:val="18"/>
          <w:b w:val="1"/>
          <w:bCs w:val="1"/>
          <w:color w:val="auto"/>
        </w:rPr>
        <w:t xml:space="preserve"> </w:t>
      </w:r>
      <w:r>
        <w:rPr>
          <w:rFonts w:ascii="Arial" w:cs="Arial" w:eastAsia="Arial" w:hAnsi="Arial"/>
          <w:sz w:val="18"/>
          <w:szCs w:val="18"/>
          <w:color w:val="auto"/>
        </w:rPr>
        <w:t>recipes on our Pinterest board to help incorporate protein into their diets.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We leverage Twitter as a customer service tool to answer questions or share product updates with our consumers.</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Stemming from our consumer-first approach to marketing, we have designed an influencer marketing program called “Premier Shakers” that leverages micro-influencers, content creators and top-tier influencers to generate further awareness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Our influencers are highly vetted and selected based on brand fit, content quality, organic product usage and engagement rates. Consistent with the brand’s strategy, we work with real life, approachable fans with whom our consumers can relate. For fiscal 2019, we estimate that our influencers’ social media channels delivered over 4.5 million impressions for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 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core fitness-focused consumers.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maintains a presence across all major social media platforms, which drives an estimated 43 million impressions per month. As of July 2019, </w:t>
      </w:r>
      <w:r>
        <w:rPr>
          <w:rFonts w:ascii="Arial" w:cs="Arial" w:eastAsia="Arial" w:hAnsi="Arial"/>
          <w:sz w:val="18"/>
          <w:szCs w:val="18"/>
          <w:i w:val="1"/>
          <w:iCs w:val="1"/>
          <w:color w:val="auto"/>
        </w:rPr>
        <w:t>Dymatize</w:t>
      </w:r>
      <w:r>
        <w:rPr>
          <w:rFonts w:ascii="Arial" w:cs="Arial" w:eastAsia="Arial" w:hAnsi="Arial"/>
          <w:sz w:val="18"/>
          <w:szCs w:val="18"/>
          <w:color w:val="auto"/>
        </w:rPr>
        <w:t>’s top two social media platforms, Facebook and Instagram, had over one million followers combined and experienced greater than 30% growth in their number of followers relative to the previous year. The brand also utilizes a social media influencer model, “Team Dymatize,” engaging with approximately forty athletes. This team promotes product usage via personal social media channels to drive awareness for the brand among its target demographic. We leverage the following outlets, which we own and operate:</w:t>
      </w:r>
    </w:p>
    <w:p>
      <w:pPr>
        <w:spacing w:after="0" w:line="91" w:lineRule="exact"/>
        <w:rPr>
          <w:sz w:val="20"/>
          <w:szCs w:val="20"/>
          <w:color w:val="auto"/>
        </w:rPr>
      </w:pPr>
    </w:p>
    <w:p>
      <w:pPr>
        <w:ind w:left="1180" w:right="780" w:hanging="544"/>
        <w:spacing w:after="0" w:line="313" w:lineRule="auto"/>
        <w:tabs>
          <w:tab w:leader="none" w:pos="118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Website: </w:t>
      </w:r>
      <w:r>
        <w:rPr>
          <w:rFonts w:ascii="Arial" w:cs="Arial" w:eastAsia="Arial" w:hAnsi="Arial"/>
          <w:sz w:val="17"/>
          <w:szCs w:val="17"/>
          <w:color w:val="auto"/>
        </w:rPr>
        <w:t>Our brand websites serve as a place for consumers to learn about our brand, become inspired by our “Team Dymatize”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ambassadors, discover new recipes and get connected with retailers to purchase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w:t>
      </w:r>
    </w:p>
    <w:p>
      <w:pPr>
        <w:spacing w:after="0" w:line="43" w:lineRule="exact"/>
        <w:rPr>
          <w:rFonts w:ascii="Arial" w:cs="Arial" w:eastAsia="Arial" w:hAnsi="Arial"/>
          <w:sz w:val="17"/>
          <w:szCs w:val="17"/>
          <w:color w:val="auto"/>
        </w:rPr>
      </w:pPr>
    </w:p>
    <w:p>
      <w:pPr>
        <w:ind w:left="1180" w:right="180" w:hanging="544"/>
        <w:spacing w:after="0" w:line="266"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Our primary social media platform is Instagram where we use a combination of product features, athletes, education,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promotions and recipes to attract followers. We also host giveaways to promote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As of July 2019, we had more than 200,000 Instagram followers, growing 35% over the prior year.</w:t>
      </w:r>
    </w:p>
    <w:p>
      <w:pPr>
        <w:spacing w:after="0" w:line="81" w:lineRule="exact"/>
        <w:rPr>
          <w:rFonts w:ascii="Arial" w:cs="Arial" w:eastAsia="Arial" w:hAnsi="Arial"/>
          <w:sz w:val="18"/>
          <w:szCs w:val="18"/>
          <w:color w:val="auto"/>
        </w:rPr>
      </w:pPr>
    </w:p>
    <w:p>
      <w:pPr>
        <w:ind w:left="1180" w:right="160" w:hanging="544"/>
        <w:spacing w:after="0" w:line="347" w:lineRule="auto"/>
        <w:tabs>
          <w:tab w:leader="none" w:pos="118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We primarily use Facebook to relay content and share retailer promotions. The international platform also allows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reach the brand’s global consumers. As of July 2019, we had more than 900,000 Facebook followers, growing 33% over the prior year.</w:t>
      </w:r>
    </w:p>
    <w:p>
      <w:pPr>
        <w:spacing w:after="0" w:line="21" w:lineRule="exact"/>
        <w:rPr>
          <w:rFonts w:ascii="Arial" w:cs="Arial" w:eastAsia="Arial" w:hAnsi="Arial"/>
          <w:sz w:val="16"/>
          <w:szCs w:val="16"/>
          <w:color w:val="auto"/>
        </w:rPr>
      </w:pPr>
    </w:p>
    <w:p>
      <w:pPr>
        <w:ind w:left="1180" w:hanging="54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Our Twitter account attracts consumers looking to follow and learn more about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b w:val="1"/>
          <w:bCs w:val="1"/>
          <w:color w:val="auto"/>
        </w:rPr>
        <w:t xml:space="preserve"> </w:t>
      </w:r>
      <w:r>
        <w:rPr>
          <w:rFonts w:ascii="Arial" w:cs="Arial" w:eastAsia="Arial" w:hAnsi="Arial"/>
          <w:sz w:val="18"/>
          <w:szCs w:val="18"/>
          <w:color w:val="auto"/>
        </w:rPr>
        <w:t>brand.</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b w:val="1"/>
          <w:bCs w:val="1"/>
          <w:i w:val="1"/>
          <w:iCs w:val="1"/>
          <w:color w:val="auto"/>
        </w:rPr>
        <w:t>PowerBar</w:t>
      </w:r>
      <w:r>
        <w:rPr>
          <w:rFonts w:ascii="Arial" w:cs="Arial" w:eastAsia="Arial" w:hAnsi="Arial"/>
          <w:sz w:val="16"/>
          <w:szCs w:val="16"/>
          <w:color w:val="auto"/>
        </w:rPr>
        <w:t>. Similar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PowerBar</w:t>
      </w:r>
      <w:r>
        <w:rPr>
          <w:rFonts w:ascii="Arial" w:cs="Arial" w:eastAsia="Arial" w:hAnsi="Arial"/>
          <w:sz w:val="16"/>
          <w:szCs w:val="16"/>
          <w:color w:val="auto"/>
        </w:rPr>
        <w:t>’s marketing efforts include retailer programs, online and specialty print media and social media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traditional sports marketing through events and activations to reach not only its core sports enthusiast consumers but also active lifestyle consumers. The brand’s social media content strategy is supported by seasonal cross-channel marketing and influencer campaigns, delivering approximately</w:t>
      </w:r>
    </w:p>
    <w:p>
      <w:pPr>
        <w:ind w:left="200" w:right="260"/>
        <w:spacing w:after="0" w:line="255" w:lineRule="auto"/>
        <w:rPr>
          <w:sz w:val="20"/>
          <w:szCs w:val="20"/>
          <w:color w:val="auto"/>
        </w:rPr>
      </w:pPr>
      <w:r>
        <w:rPr>
          <w:rFonts w:ascii="Arial" w:cs="Arial" w:eastAsia="Arial" w:hAnsi="Arial"/>
          <w:sz w:val="18"/>
          <w:szCs w:val="18"/>
          <w:color w:val="auto"/>
        </w:rPr>
        <w:t xml:space="preserve">25 million annual impressions. Sponsorships of sports events drive product trial with approximately 65,000 participants and a reach of approximately 1.6 million media impressions.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 We leverage the following outlets, which we own and operate:</w:t>
      </w:r>
    </w:p>
    <w:p>
      <w:pPr>
        <w:spacing w:after="0" w:line="92" w:lineRule="exact"/>
        <w:rPr>
          <w:sz w:val="20"/>
          <w:szCs w:val="20"/>
          <w:color w:val="auto"/>
        </w:rPr>
      </w:pPr>
    </w:p>
    <w:p>
      <w:pPr>
        <w:ind w:left="1180" w:right="20" w:hanging="544"/>
        <w:spacing w:after="0" w:line="266"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for our products, as a source of athlete and nutrition inspiration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as a point of purchase for all existing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In 2018, www.powerbar.eu had more than 400,000 unique visitors according to Google Analytics.</w:t>
      </w:r>
    </w:p>
    <w:p>
      <w:pPr>
        <w:spacing w:after="0" w:line="81" w:lineRule="exact"/>
        <w:rPr>
          <w:rFonts w:ascii="Arial" w:cs="Arial" w:eastAsia="Arial" w:hAnsi="Arial"/>
          <w:sz w:val="18"/>
          <w:szCs w:val="18"/>
          <w:color w:val="auto"/>
        </w:rPr>
      </w:pPr>
    </w:p>
    <w:p>
      <w:pPr>
        <w:ind w:left="1180" w:right="60" w:hanging="544"/>
        <w:spacing w:after="0" w:line="266"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For fiscal 2018, Instagram was our highest engagement and fastest-growing social media channel. We leverage Instagram to</w:t>
      </w:r>
      <w:r>
        <w:rPr>
          <w:rFonts w:ascii="Arial" w:cs="Arial" w:eastAsia="Arial" w:hAnsi="Arial"/>
          <w:sz w:val="18"/>
          <w:szCs w:val="18"/>
          <w:b w:val="1"/>
          <w:bCs w:val="1"/>
          <w:color w:val="auto"/>
        </w:rPr>
        <w:t xml:space="preserve"> </w:t>
      </w:r>
      <w:r>
        <w:rPr>
          <w:rFonts w:ascii="Arial" w:cs="Arial" w:eastAsia="Arial" w:hAnsi="Arial"/>
          <w:sz w:val="18"/>
          <w:szCs w:val="18"/>
          <w:color w:val="auto"/>
        </w:rPr>
        <w:t>connect with our fans, athletes and influencers. We also use Instagram to share product news and event stories as well as to conduct raffles and lotteries to drive community engagement.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right="220" w:hanging="544"/>
        <w:spacing w:after="0" w:line="282"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primary social media channel for sharing product news, posting motivational stories to engage with our fans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answering consumer queries.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In 2018,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newsletter program to deliver information on new product launches and promotions.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described above, we use digital marketing, including our brand websites and social media sites, to communicate news about our brands directly to consumers who access our websites and social media sites and to address questions, comments or concerns about our products. Also, social media monitoring allows us to better understand industry and competitive trends. Although we do not view metrics such as brand website visits or social media followers as precise measures of the performance of products or promotions or the impact of news about our products, the metrics are useful to our management team in assessing how products, promotions or product news resonate with our fan base. These metrics contain certain limitations, as discussed under “Industry and Market Data.”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Product innovation and renovation are critical components of our business. We have a proven track record of launching successful new products and innovating across our portfolio both domestically and abroad. We employ digital tools such as artificial intelligence and social listening to rapidly identify consumer insights and trending topics. These tools allow for the analysis of large volumes of data spread over various consumer digital platforms. We leverage the information obtained from these digital tools along with other extensive research to understand consumer trends and work in partnership with our customers to remain at the forefront of innovation.</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We continue to improve and expand our product offerings with new flavors, innovative ingredients and unique packaging options, while maintaining our commitment to delivering the nutrition and taste profiles demanded by our consumers. Currently,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seven flavors, up from three flavors at the end of fiscal 2015. Sales from the additional flavors accounted for 38% of the increase in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25% of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fiscal 2018. Our commitment to this objective is demonstrated by our dedicated innovation team of over thirty people that includes scientists, consumer insights professionals, innovation managers and project managers. We also recently invested in a new product development lab based in Emeryville, California. This facility will allow our in-house research team to enhance the development of new products internally and bring them to market quickly through our contract manufacturing network without compromising our high standards of taste, quality, safety and nutritional content. This new facility complements our other research and development centers in Dallas, Texas; Boise, Idaho and Voerde, Germany.</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supplement our internal expertise with internationally recognized design firms, leading product development companies, third party flavor houses and innovation consultants.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primarily engage contract manufacturers and third party logistics firms to manufacture and distribute our products. Our largely outsourced model enhances production flexibility and capacity and enables us to focus on our core in-house capabilities, including sales and marketing, brand management, customer service and research and development, allowing management to drive profitable growth. We own a manufacturing operation in Voerde, Germany that supplies nutrition bars and gels primarily for the E.U. and the U.K.</w:t>
      </w:r>
    </w:p>
    <w:p>
      <w:pPr>
        <w:spacing w:after="0" w:line="183" w:lineRule="exact"/>
        <w:rPr>
          <w:sz w:val="20"/>
          <w:szCs w:val="20"/>
          <w:color w:val="auto"/>
        </w:rPr>
      </w:pPr>
    </w:p>
    <w:p>
      <w:pPr>
        <w:ind w:left="200" w:right="360" w:firstLine="441"/>
        <w:spacing w:after="0" w:line="314" w:lineRule="auto"/>
        <w:rPr>
          <w:sz w:val="20"/>
          <w:szCs w:val="20"/>
          <w:color w:val="auto"/>
        </w:rPr>
      </w:pPr>
      <w:r>
        <w:rPr>
          <w:rFonts w:ascii="Arial" w:cs="Arial" w:eastAsia="Arial" w:hAnsi="Arial"/>
          <w:sz w:val="16"/>
          <w:szCs w:val="16"/>
          <w:b w:val="1"/>
          <w:bCs w:val="1"/>
          <w:i w:val="1"/>
          <w:iCs w:val="1"/>
          <w:color w:val="auto"/>
        </w:rPr>
        <w:t>Sourcing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Raw materials used in our business consist of ingredients and packaging materials purchased from local, regional and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Our principal ingredients include milk-based, whey-based and soy-based proteins and protein blends. Our primary packaging materials include aseptic foil and plastic lined cardboard cartons, aseptic plastic bottles, plastic jars and lids, flexible film, cartons and corrugate. We purchase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177"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third party contract manufacturers in North America and the E.U. to produce our finished goods.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products from our contract manufacturers, which include all packaging and ingredients used, for an agreed-upon tolling charge for each item produced as well other minor costs. We also own a nutrition bar and gel-filling line plant in Voerde, Germany that supplies some of the products for our </w:t>
      </w:r>
      <w:r>
        <w:rPr>
          <w:rFonts w:ascii="Arial" w:cs="Arial" w:eastAsia="Arial" w:hAnsi="Arial"/>
          <w:sz w:val="18"/>
          <w:szCs w:val="18"/>
          <w:i w:val="1"/>
          <w:iCs w:val="1"/>
          <w:color w:val="auto"/>
        </w:rPr>
        <w:t>PowerBar</w:t>
      </w:r>
      <w:r>
        <w:rPr>
          <w:rFonts w:ascii="Arial" w:cs="Arial" w:eastAsia="Arial" w:hAnsi="Arial"/>
          <w:sz w:val="18"/>
          <w:szCs w:val="18"/>
          <w:color w:val="auto"/>
        </w:rPr>
        <w:t>,</w:t>
      </w:r>
      <w:r>
        <w:rPr>
          <w:rFonts w:ascii="Arial" w:cs="Arial" w:eastAsia="Arial" w:hAnsi="Arial"/>
          <w:sz w:val="18"/>
          <w:szCs w:val="18"/>
          <w:i w:val="1"/>
          <w:iCs w:val="1"/>
          <w:color w:val="auto"/>
        </w:rPr>
        <w:t xml:space="preserve"> Premier 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Dymatize </w:t>
      </w:r>
      <w:r>
        <w:rPr>
          <w:rFonts w:ascii="Arial" w:cs="Arial" w:eastAsia="Arial" w:hAnsi="Arial"/>
          <w:sz w:val="18"/>
          <w:szCs w:val="18"/>
          <w:color w:val="auto"/>
        </w:rPr>
        <w:t>brands.</w:t>
      </w:r>
    </w:p>
    <w:p>
      <w:pPr>
        <w:spacing w:after="0" w:line="184"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 xml:space="preserve">Our largest contract manufacturer, Stremick’s Heritage Foods, LLC (“Stremick’s”), from three separate and geographically diverse manufacturing locations, provided approximately 84%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for the last twelve months ended June 30, 2019. Stremick’s and its affiliates have been the primary contract manufacturer for Premier Nutrition since 2010, and Stremick’s and Premier Nutrition currently operate under a manufacturing agreement dated July 1, 2017, as subsequently amended. Stremick’s manufactures and packages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Under the terms of the manufacturing agreement, Premier Nutrition is required to purchase a minimum annual order volume of RTD protein shakes and has the right (but not the obligation) to order quantities in excess of a monthly minimum amount (which is the minimum annual order volume divided by 12), provided Stremick’s has the capacity and the ability to produce such additional quantities. We have consistently exceeded our monthly minimum order amount under the manufacturing agreement. In addition, under the terms of the manufacturing agreement, Stremick’s has committed to produce an annual minimum volume of RTD protein shakes. The manufacturing agreement also contains detailed provisions regarding the product specifications and quality standards for the products to be manufactured and packaged by Stremick’s,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The manufacturing agreement expires on December 31, 2022. This description is qualified by reference in its entirety to the full text of the manufacturing agreement, which we have filed as an exhibit to the registration statement of which this prospectus is a part.</w:t>
      </w:r>
    </w:p>
    <w:p>
      <w:pPr>
        <w:spacing w:after="0" w:line="172"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15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RTD protein shake production is complex and requires significant technical expertise. 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one of the international Food Safety Standards (ISO/FSSC 22.000, IFS or BRC), and OHSAS 18001 (Health and Safety).</w:t>
      </w:r>
    </w:p>
    <w:p>
      <w:pPr>
        <w:spacing w:after="0" w:line="193"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All testing results are reviewed by internal personnel prior to releasing products from third party manufacturing facilities. Critical data also is tracked with the plants to assure that adequate controls are in place and product is consistently produced to specifications. All domestic sites maintain Global Food Safety Initiative certifications or equivalents thereof, and the food safety plans for each site are reviewed annually. Ingredients and packaging used by the brands go through a robust review and approval process. Consumer complaints are also carefully monitored and analyzed to provide feedback to the plants on performance.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16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EBIT margins because of consumer spending patterns and timing of promotional activity. Historically, our first quarter of the fiscal year is seasonally low for net sales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Post will provide us space for our principal executive offices in St. Louis, Missouri pursuant to the master services agreement. Our other administrative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“Supply Chain.”</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lease an additional research and development facility in Boise, Idaho. We also lease administrative offices in Munich, Germany; Worb,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 description of our working capital practices is included in “Management’s Discussion and Analysis of Financial Condition and Results of Operations—Liquidity and Capital Resources.”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fiscal 2018, our aggregate capital expenditures were $5.0 million. We have modest capital expenditures due to the asset-light nature of our business model.</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24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maintain general liability and product liability, property, worker’s compensation, business interruption, director and officer and other insurance in amounts and on terms that we believe are customary for companies similarly situated. In addition, we maintain excess insurance where we reasonably believe it is cost effective.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ind w:left="200" w:right="400" w:firstLine="441"/>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PowerBar</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Supreme Protein</w:t>
      </w:r>
      <w:r>
        <w:rPr>
          <w:rFonts w:ascii="Arial" w:cs="Arial" w:eastAsia="Arial" w:hAnsi="Arial"/>
          <w:sz w:val="15"/>
          <w:szCs w:val="15"/>
          <w:color w:val="auto"/>
        </w:rPr>
        <w:t>®</w:t>
      </w:r>
      <w:r>
        <w:rPr>
          <w:rFonts w:ascii="Arial" w:cs="Arial" w:eastAsia="Arial" w:hAnsi="Arial"/>
          <w:sz w:val="18"/>
          <w:szCs w:val="18"/>
          <w:color w:val="auto"/>
        </w:rPr>
        <w:t>. Our owned trademarks are, in most cases, protected through registration in the U.S. or</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193" w:lineRule="exact"/>
        <w:rPr>
          <w:sz w:val="20"/>
          <w:szCs w:val="20"/>
          <w:color w:val="auto"/>
        </w:rPr>
      </w:pPr>
    </w:p>
    <w:p>
      <w:pPr>
        <w:ind w:left="200" w:right="700" w:firstLine="441"/>
        <w:spacing w:after="0" w:line="342" w:lineRule="auto"/>
        <w:rPr>
          <w:sz w:val="20"/>
          <w:szCs w:val="20"/>
          <w:color w:val="auto"/>
        </w:rPr>
      </w:pPr>
      <w:r>
        <w:rPr>
          <w:rFonts w:ascii="Arial" w:cs="Arial" w:eastAsia="Arial" w:hAnsi="Arial"/>
          <w:sz w:val="16"/>
          <w:szCs w:val="16"/>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18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FDA,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recent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18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approximately 380 employees as of September 1, 2019. Of these employees, approximately 200 are in the U.S., approximately 170 are in Germany and approximately 10 are in other countries.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Joint Juice Litigation</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see Note 11 of “Notes to Combined Financial Statements” for the years ended September 30, 2018, 2017 and 2016 and Note 9 of “Notes to Condensed Combined Financial Statements” for the nine months ended June 30, 2019 and 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based upon the information currently available, the ultimate liability arising from such compliance matters is not expected to be material to the combined financial position, results of operations or cash flows of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JOBS Act. We will continue to be an emerging growth company until the earliest to occur of:</w:t>
      </w:r>
    </w:p>
    <w:p>
      <w:pPr>
        <w:spacing w:after="0" w:line="76" w:lineRule="exact"/>
        <w:rPr>
          <w:sz w:val="20"/>
          <w:szCs w:val="20"/>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180" w:right="100" w:hanging="544"/>
        <w:spacing w:after="0" w:line="264"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60" w:hanging="544"/>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following sets forth, as of the date of this prospectus, information regarding individuals who are expected to serve as our executive officers and our directors at the time of this offering. Our current directors are certain executive officers of Post who, other than Robert V. Vitale, will not serve as directors of BellRing Brands, Inc. after completion of the formation transactions and this offering.</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ind w:left="12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gridSpan w:val="3"/>
          </w:tcPr>
          <w:p>
            <w:pPr>
              <w:ind w:left="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46</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President and Chief Executive Officer, Director Nominee</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Cornille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47</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Senior Vice President, Marketing of Premier Nutrition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R. Lee Partin</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65</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Senior Vice President, Sales of Premier Nutrition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49</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Craig L. Rosenthal</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48</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Senior Vice President and General Counsel</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Singh</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50</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Senior Vice President, Operations of Premier Nutrition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Thomas P. Erickson</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64</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Kuperman</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46</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Elliot H. Stein, Jr.</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70</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i w:val="1"/>
          <w:iCs w:val="1"/>
          <w:color w:val="auto"/>
        </w:rPr>
        <w:t xml:space="preserve">Robert V. Vitale </w:t>
      </w:r>
      <w:r>
        <w:rPr>
          <w:rFonts w:ascii="Arial" w:cs="Arial" w:eastAsia="Arial" w:hAnsi="Arial"/>
          <w:sz w:val="16"/>
          <w:szCs w:val="16"/>
          <w:color w:val="auto"/>
        </w:rPr>
        <w:t>has served as our Executive Chairman since September 2019. Mr. Vitale has been the President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served on the board of directors of Energizer Holdings, Inc., a publicly traded manufacturer of primary batteries, lighting products and automotive, fragrance and appearance products, since August 2017. Mr. Vitale was selected to serve on our Board of Directors based on his experience in significant leadership positions, his understanding of finance and financial reporting processes, his extensive experience in leadership roles in industries relevant to our business, including consumer packaged goods, retail and consumer product manufacturing, his experience in mergers and acquisitions, his experience as an executive with direct operational responsibilities and his experience as an executive and as a director of other publicly traded companies. Mr. Vitale earned his undergraduate degree from St. Louis University and his MBA from Washington University.</w:t>
      </w:r>
    </w:p>
    <w:p>
      <w:pPr>
        <w:spacing w:after="0" w:line="16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Darcy Horn Davenport </w:t>
      </w:r>
      <w:r>
        <w:rPr>
          <w:rFonts w:ascii="Arial" w:cs="Arial" w:eastAsia="Arial" w:hAnsi="Arial"/>
          <w:sz w:val="17"/>
          <w:szCs w:val="17"/>
          <w:color w:val="auto"/>
        </w:rPr>
        <w:t>has served as our President and Chief Executive Officer since September 2019 and will serve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upon completion of this offering. Ms. Davenport has served as President of Post’s Active Nutrition business since October 2017 and as President of Premier Nutrition, which will be a subsidiary of BellRing Brands, Inc. upon completion of the offering, since November 2016.</w:t>
      </w:r>
    </w:p>
    <w:p>
      <w:pPr>
        <w:ind w:left="200" w:right="20"/>
        <w:spacing w:after="0" w:line="270" w:lineRule="auto"/>
        <w:rPr>
          <w:sz w:val="20"/>
          <w:szCs w:val="20"/>
          <w:color w:val="auto"/>
        </w:rPr>
      </w:pPr>
      <w:r>
        <w:rPr>
          <w:rFonts w:ascii="Arial" w:cs="Arial" w:eastAsia="Arial" w:hAnsi="Arial"/>
          <w:sz w:val="17"/>
          <w:szCs w:val="17"/>
          <w:color w:val="auto"/>
        </w:rPr>
        <w:t>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was selected to serve on our Board of Directors based on her experience in significant leadership positions, her extensive experience in leadership roles in industries relevant to our business, her</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understanding of finance and financial reporting processes, her experience in marketing and sales and her experience as an executive with direct operational responsibilities. Ms. Davenport earned her undergraduate degree from Princeton University and her MBA from New York University’s Leonard N. Stern School of Business.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 xml:space="preserve">Douglas J. Cornille </w:t>
      </w:r>
      <w:r>
        <w:rPr>
          <w:rFonts w:ascii="Arial" w:cs="Arial" w:eastAsia="Arial" w:hAnsi="Arial"/>
          <w:sz w:val="16"/>
          <w:szCs w:val="16"/>
          <w:color w:val="auto"/>
        </w:rPr>
        <w:t>has served as Senior Vice President, Marketing of Premier Nutrition, which will be a subsidiary of BellRing Brands, Inc. upon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offering,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at Rhodes College and attended Oxford University, St. John’s College. Mr. Cornille earned his MBA from Duke University—The Fuqua School of Business.</w:t>
      </w:r>
    </w:p>
    <w:p>
      <w:pPr>
        <w:spacing w:after="0" w:line="15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R. Lee Partin </w:t>
      </w:r>
      <w:r>
        <w:rPr>
          <w:rFonts w:ascii="Arial" w:cs="Arial" w:eastAsia="Arial" w:hAnsi="Arial"/>
          <w:sz w:val="18"/>
          <w:szCs w:val="18"/>
          <w:color w:val="auto"/>
        </w:rPr>
        <w:t>has served as Senior Vice President, Sales of Premier Nutrition, which will be a subsidiary of BellRing Brands,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offering, since March 2012. Prior to joining Premier Nutrition, Mr. Partin was Director of Sales of Joint Juice, Inc., a liquid dietary supplement manufacturer that combined with Premier Nutrition in October 2011, from September 2008 to March 2012. Mr. Partin previously was a general manager of Dreyer’s Grand Ice Cream Holdings, Inc., a manufacturer of ice cream and frozen yogurt, from November 1982 to September 2008. Mr. Partin is a graduate of Virginia Commonwealth University—School of Business.</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auto"/>
        </w:rPr>
        <w:t xml:space="preserve">Paul A. Rode </w:t>
      </w:r>
      <w:r>
        <w:rPr>
          <w:rFonts w:ascii="Arial" w:cs="Arial" w:eastAsia="Arial" w:hAnsi="Arial"/>
          <w:sz w:val="16"/>
          <w:szCs w:val="16"/>
          <w:color w:val="auto"/>
        </w:rPr>
        <w:t>has served as our Chief Financial Officer since September 2019. Mr. Rode has served as Chief Financial Officer of Post’s Active</w:t>
      </w:r>
      <w:r>
        <w:rPr>
          <w:rFonts w:ascii="Arial" w:cs="Arial" w:eastAsia="Arial" w:hAnsi="Arial"/>
          <w:sz w:val="16"/>
          <w:szCs w:val="16"/>
          <w:i w:val="1"/>
          <w:iCs w:val="1"/>
          <w:color w:val="auto"/>
        </w:rPr>
        <w:t xml:space="preserve"> </w:t>
      </w:r>
      <w:r>
        <w:rPr>
          <w:rFonts w:ascii="Arial" w:cs="Arial" w:eastAsia="Arial" w:hAnsi="Arial"/>
          <w:sz w:val="16"/>
          <w:szCs w:val="16"/>
          <w:color w:val="auto"/>
        </w:rPr>
        <w:t>Nutrition business since May 2015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Craig L. Rosenthal </w:t>
      </w:r>
      <w:r>
        <w:rPr>
          <w:rFonts w:ascii="Arial" w:cs="Arial" w:eastAsia="Arial" w:hAnsi="Arial"/>
          <w:sz w:val="17"/>
          <w:szCs w:val="17"/>
          <w:color w:val="auto"/>
        </w:rPr>
        <w:t>has served as our Senior Vice President and General Counsel since August 2019. Prior to joining BellRing Brands, Inc., Mr.</w:t>
      </w:r>
      <w:r>
        <w:rPr>
          <w:rFonts w:ascii="Arial" w:cs="Arial" w:eastAsia="Arial" w:hAnsi="Arial"/>
          <w:sz w:val="17"/>
          <w:szCs w:val="17"/>
          <w:i w:val="1"/>
          <w:iCs w:val="1"/>
          <w:color w:val="auto"/>
        </w:rPr>
        <w:t xml:space="preserve"> </w:t>
      </w:r>
      <w:r>
        <w:rPr>
          <w:rFonts w:ascii="Arial" w:cs="Arial" w:eastAsia="Arial" w:hAnsi="Arial"/>
          <w:sz w:val="17"/>
          <w:szCs w:val="17"/>
          <w:color w:val="auto"/>
        </w:rPr>
        <w:t>Rosenthal was an attorney at Husch Blackwell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and Director, Senior Counsel and Assistant Secretary at Cequel Communications, LLC dba Suddenlink Communications from 2003 to 2005. Previously, Mr. Rosenthal was an attorney at Husch &amp; Eppenberger LLC (now Husch Blackwell LLP) from 1997 to 2003. Mr. Rosenthal earned his undergraduate degree from the University of Missouri and juris doctorate from Washington University School of Law.</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Robin Singh </w:t>
      </w:r>
      <w:r>
        <w:rPr>
          <w:rFonts w:ascii="Arial" w:cs="Arial" w:eastAsia="Arial" w:hAnsi="Arial"/>
          <w:sz w:val="18"/>
          <w:szCs w:val="18"/>
          <w:color w:val="auto"/>
        </w:rPr>
        <w:t>has served as Senior Vice President, Operations of Premier Nutrition, which will be a subsidiary of BellRing Brands,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offering, since March 2019. Prior to joining Premier Nutrition, Mr. Singh held various senior leadership positions at Mondelēz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attended The University of Western Ontario—Richard Ivey School of Business and the University of Guelph, Ontario.</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Thomas P. Erickson </w:t>
      </w:r>
      <w:r>
        <w:rPr>
          <w:rFonts w:ascii="Arial" w:cs="Arial" w:eastAsia="Arial" w:hAnsi="Arial"/>
          <w:sz w:val="16"/>
          <w:szCs w:val="16"/>
          <w:color w:val="auto"/>
        </w:rPr>
        <w:t>will serve as a member of our Board of Directors upon completion of this offering. Mr. Erickson has been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Thomas P. Erickson, CPA, LLC, a tax consulting firm, since May 2016 and is a retired tax partner from KPMG, where he worked from 1980 to September 2015. From September 2015 to May 2016, Mr. Erickson provided tax consulting services to various companies and individuals.</w:t>
      </w:r>
    </w:p>
    <w:p>
      <w:pPr>
        <w:ind w:left="200" w:right="40"/>
        <w:spacing w:after="0" w:line="254" w:lineRule="auto"/>
        <w:rPr>
          <w:sz w:val="20"/>
          <w:szCs w:val="20"/>
          <w:color w:val="auto"/>
        </w:rPr>
      </w:pPr>
      <w:r>
        <w:rPr>
          <w:rFonts w:ascii="Arial" w:cs="Arial" w:eastAsia="Arial" w:hAnsi="Arial"/>
          <w:sz w:val="18"/>
          <w:szCs w:val="18"/>
          <w:color w:val="auto"/>
        </w:rPr>
        <w:t>Mr. Erickson has over 40 years of public accounting experience and is an instructor of advanced partnership planning, taxable and nontaxable corporate transactions and formations and S corporation planning for KPMG. Mr. Erickson was selected to serve on our Board of Directors based on his expertise in tax matters and his understanding of finance and financial reporting processes. Mr. Erickson is a Certified Public Accountant and received his bachelor’s degree from the University of Missouri-St. Louis.</w:t>
      </w:r>
    </w:p>
    <w:p>
      <w:pPr>
        <w:spacing w:after="0" w:line="19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Jennifer Kuperman </w:t>
      </w:r>
      <w:r>
        <w:rPr>
          <w:rFonts w:ascii="Arial" w:cs="Arial" w:eastAsia="Arial" w:hAnsi="Arial"/>
          <w:sz w:val="17"/>
          <w:szCs w:val="17"/>
          <w:color w:val="auto"/>
        </w:rPr>
        <w:t>will serve as a member of our Board of Directors upon completion of this offering. Ms. Kuperman has been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corporate affairs at Alibaba Group Holding Limited, a multinational conglomerate holding company specializing in eCommerce, retail, internet and technology, since April 2016 and served as vice president, international corporate affairs at Alibaba Group Holding Limited from August 2014 to April 2016. Prior to joining Alibaba Group Holding Limited, Ms. Kuperman was senior vice president of corporate brand and reputation at Visa Inc., a global payments technology company, from April 2013 to August 2014 and chief of staff, office of the chairman and chief executive officer at Visa Inc. from August 2010 to April 2013. Ms. Kuperman also served as head of global corporate communications and citizenship at Visa Inc. from August 2008 to July 2010 and head of employee and client communication at Visa Inc. from August 2004 to June 2008. Ms. Kuperman also serves on the board of directors of CoachArt, a nonprofit organization that provides arts and recreational opportunities to youth with chronic and life-threatening illnesses. Ms. Kuperman was selected to serve on our Board of Directors based on her experience in significant leadership positions and her international experience. Ms. Kuperman received her undergraduate degree from Middlebury College and her master’s of arts degree in organizational psychology from Columbia University in the City of New York.</w:t>
      </w:r>
    </w:p>
    <w:p>
      <w:pPr>
        <w:spacing w:after="0" w:line="18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Elliot H. Stein, Jr. </w:t>
      </w:r>
      <w:r>
        <w:rPr>
          <w:rFonts w:ascii="Arial" w:cs="Arial" w:eastAsia="Arial" w:hAnsi="Arial"/>
          <w:sz w:val="16"/>
          <w:szCs w:val="16"/>
          <w:color w:val="auto"/>
        </w:rPr>
        <w:t>will serve as a member of our Board of Directors upon completion of this offering. Mr. Stein has been chairman of Acertas,</w:t>
      </w:r>
      <w:r>
        <w:rPr>
          <w:rFonts w:ascii="Arial" w:cs="Arial" w:eastAsia="Arial" w:hAnsi="Arial"/>
          <w:sz w:val="16"/>
          <w:szCs w:val="16"/>
          <w:i w:val="1"/>
          <w:iCs w:val="1"/>
          <w:color w:val="auto"/>
        </w:rPr>
        <w:t xml:space="preserve"> </w:t>
      </w:r>
      <w:r>
        <w:rPr>
          <w:rFonts w:ascii="Arial" w:cs="Arial" w:eastAsia="Arial" w:hAnsi="Arial"/>
          <w:sz w:val="16"/>
          <w:szCs w:val="16"/>
          <w:color w:val="auto"/>
        </w:rPr>
        <w:t>LLC and Senturion Forecasting, LLC, two privately owned data analytics firms, since 2013. In addition, Mr. Stein has been a director of Apollo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Mr. Stein is also a board member of Multi-Pack Solutions, LLC, a privately owned manufacturing company, Caryn Health Solutions LLC, a privately owned health services provider, and Cohere Communications, LLC, a privately owned managed IT services and cybersecurity provider. Previously, Mr. Stein was a managing director of Commonwealth Capital Partners, L.P. He also previously served as a director of various private companies in the media, manufacturing, retail and finance industries. Mr. Stein was chairman of Caribbean International News Corporation when it filed a voluntary petition under the U.S. Bankruptcy Code in September 2013 and of News Distributors of Puerto Rico LLC when it filed a voluntary petition under the U.S. Bankruptcy Code in February 2014. Mr. Stein was selected to serve on our Board of Directors based on his experience in significant leadership positions, his understanding of financial and financial reporting processes and his experience as a director of other publicly traded companies. Mr. Stein is a Trustee of Claremont Graduate University and The New School University. He is a member of the Council on Foreign Relations. Mr. Stein received his bachelor’s degree from Claremont McKenna College.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Controlled Company Exemptions</w:t>
      </w:r>
    </w:p>
    <w:p>
      <w:pPr>
        <w:spacing w:after="0" w:line="11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intend to apply to list our Class A common stock on the NYSE. Because Post will control a majority of the voting power of our outstanding voting stock upon completion of this offering, we will be a “controlled company” under the NYSE corporate governance standards. As a controlled company, we will be eligible to rely on exemptions from some of the NYSE corporate governance standards, including:</w:t>
      </w:r>
    </w:p>
    <w:p>
      <w:pPr>
        <w:spacing w:after="0" w:line="71" w:lineRule="exact"/>
        <w:rPr>
          <w:sz w:val="20"/>
          <w:szCs w:val="20"/>
          <w:color w:val="auto"/>
        </w:rPr>
      </w:pPr>
    </w:p>
    <w:p>
      <w:pPr>
        <w:ind w:left="5580" w:right="3200" w:hanging="4944"/>
        <w:spacing w:after="0" w:line="449" w:lineRule="auto"/>
        <w:tabs>
          <w:tab w:leader="none" w:pos="11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 123</w:t>
      </w:r>
    </w:p>
    <w:p>
      <w:pPr>
        <w:sectPr>
          <w:pgSz w:w="11900" w:h="16838" w:orient="portrait"/>
          <w:cols w:equalWidth="0" w:num="1">
            <w:col w:w="11180"/>
          </w:cols>
          <w:pgMar w:left="24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80" w:hanging="544"/>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do not currently expect to rely upon these exemptions; however, we may choose to change our Board of Directors or committee composition in the future to manage our corporate governance in accordance with these exemptions.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provide for a board of directors that is divided into three classes as equal in size as possible. The classes will each have three-year terms, and the term of one class will expire each year in rotation at the year’s annual meeting of stockholders. The initial terms of Class I, Class II and Class III directors will expire in 2020, 2021 and 2022, respectively.</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Ms. Davenport and Mr. Stein will serve as Class I directors, Mr. Erickson and Ms. Kuperman will serve as Class II directors and Mr. Vitale will serve as a Class III director. At each annual meeting of stockholders after the initial division of the Board of Directors into three classes, the successors to directors whose terms will expire on such date will serve from the time of their election and qualification until the third annual meeting following their election and until their successors are duly elected and qualified.</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Upon the completion of this offering, our Board of Directors will be set at five members. The size of the Board of Directors can be changed by a vote of its members. Vacancies on the Board of Directors may be filled by a majority of the remaining directors. A director elected to fill a vacancy, or a new directorship created by an increase in the size of the Board of Directors, would serve for the remainder of the full term of the class of directors in which the vacancy or newly created directorship occurred. Any additional directorships resulting from an increase in the number of directors will be distributed among the three classes so as to ensure that the classes are as nearly equal in number as the then-authorized number of directors permits.</w:t>
      </w:r>
    </w:p>
    <w:p>
      <w:pPr>
        <w:spacing w:after="0" w:line="15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Post has designated Ms. Davenport, Mr. Erickson and Mr. Vitale as its nominees under the investor rights agreement that we will enter into with Post as part of the formation transactions and this offering, with Ms. Davenport to serve as a Class I director, Mr. Erickson to serve as a Class II director and Mr. Vitale to serve as a Class III director. If a vacancy is created on our Board of Directors as a result of the death, disability, retirement, resignation or removal of a director who is a Post nominee, Post will have the right to designate such person’s replacement. Please refer to “Certain Relationships and Related Party Transactions—Post-Offering Relationship with Post—Investor Rights Agreement.”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expect our Board of Directors will consist of a majority of independent directors upon the completion of this offering. Upon the completion of this offering, we expect that three of the five members of our Board of Directors will qualify as “independent” under the NYSE corporate governance standards. Our Board of Directors has determined as of the date of this prospectus that each of Mr. Erickson, Ms. Kuperman and Mr. Stein is an independent director as defined under the NYSE corporate governance standards.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Board of Directors will establish standing committees in connection with the discharge of its responsibilities. Upon the completion of this offering, these committees will include an Audit Committee, a Corporate Governance and Compensation Committee and an Executive Committee. Our Board of Directors also may establish such other committees as it deems appropriate, in accordance with applicable law and regulations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60"/>
          </w:cols>
          <w:pgMar w:left="24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and our corporate governance documents. Under the investor rights agreement, Post has the right to designate the members of each committee until the votes that may be cast by Post under our amended and restated certificate of incorporation are less than 25% of the total voting power of all of our shares of common stock. Please refer to “Certain Relationships and Related Party Transactions—Post-Offering Relationship with Post—Investor Rights Agreement.”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Audit Committee will function pursuant to a written charter adopted by our Board of Directors. Our Audit Committee’s primary responsibilities will include overseeing: (i) the quality and integrity of our financial statements and financial reporting, (ii) the independence and qualifications of our independent registered public accounting firm, (iii) the performance of our internal audit function and independent auditors, (iv) our systems of internal accounting, financial controls and disclosure controls, (v) compliance with legal and regulatory requirements, codes of conduct and ethics programs and (vi) the preparation of an annual report for inclusion in our proxy statement as the Audit Committee Report.</w:t>
      </w:r>
    </w:p>
    <w:p>
      <w:pPr>
        <w:spacing w:after="0" w:line="173"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Audit Committee will have a minimum of three members. All members of our Audit Committee will be “independent” as defined in the NYSE corporate governance standards and Rule 10A-3 of the Exchange Act. At least one member of our Audit Committee will, in the judgment of our Board of Directors, be financially literate and qualify as an “audit committee financial expert” as defined under the rules and regulations of the SEC.</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Governance and Compensation Committee</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Corporate Governance and Compensation Committee will function pursuant to a written charter adopted by our Board of Directors. Our Corporate Governance and Compensation Committee’s primary responsibilities will include: (i) evaluating and determining the compensation level of our executive officers and certain other executives, (ii) overseeing and making recommendations regarding compensation plans, benefit plans and programs and stock-based plans for our employees, (iii) reviewing and overseeing risks arising from or in connection with our compensation policies and programs for our employees, (iv) recommending plans and programs for director compensation and amounts of compensation to be paid to directors and administering director compensation, (v) developing, reviewing and making recommendations for, as necessary, our corporate governance guidelines, (vi) considering and evaluating transactions between us and any of our directors, officers or affiliates, (vii) identifying individuals qualified to become members of our Board of Directors and considering and selecting, or making recommendations to our Board of Directors on, director nominees and (viii) coordinating and overseeing the annual self-assessment of our Board of Directors and management. Under the investor rights agreement, Post will have certain rights to designate directors for the BellRing Brands, Inc. Board of Directors, subject to applicable corporate governance rules of the SEC and the NYSE (which may require Post to designate independent directors). See “Certain Relationships and Related Party Transactions—Post-Offering Relationship with Post—Investor Rights Agreement.”</w:t>
      </w:r>
    </w:p>
    <w:p>
      <w:pPr>
        <w:spacing w:after="0" w:line="18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Upon the completion of this offering, we expect that all of the members of our Corporate Governance and Compensation Committee will be “independent” as defined under the NYSE corporate governance standards.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Executive Committee</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Our Executive Committee will function pursuant to a written charter adopted by our Board of Directors. Our Executive Committee will be able to exercise all authority of the Board of Directors in the intervals between meetings of the Board of Directors, to the extent such authority is in compliance with our corporate governance guidelines and does not infringe upon the duties and responsibilities of other Board of Directors committees.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Upon the completion of this offering, our Board of Directors will adopt a code of conduct that applies to all of our directors, officers and employees, including any persons serving as a principal executive officer, principal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financial officer, principal accounting officer and controller and persons performing similar functions. Upon completion of this offering, the full text of the code of conduct will be available on our website located at www.bellring.com. We intend to disclose any amendments to or waivers from a provision of our code of conduct that applies to our executive officers on our website.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operate as a wholly-owned subsidiary of Post. As a result, we did not have a compensation committee or any other committee serving a similar function when the compensation of our executive officers was established for fiscal 2018.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189"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Mr. Vitale serves on the board of directors of Post and as the President and Chief Executive Officer of Post, and he also will serve as our Executive Chairman. None of our executive officers has served as a member of a compensation committee of any other entity that has an executive officer that we expect to serve as a member of our Board of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None of our current directors has received compensation for his or her service as our director. After the completion of this offering, we expect that our Board of Directors will adopt a compensation program for our non-management directors with the following compensation elements.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All of our non-management directors will receive an annual cash retainer of $55,000. The chairperson of each of our Audit Committee and Corporate Governance and Compensation Committee will each receive an additional annual cash retainer of $10,000. The independent lead director of our Board will receive an additional annual retainer of $10,000.</w:t>
      </w:r>
    </w:p>
    <w:p>
      <w:pPr>
        <w:spacing w:after="0" w:line="181"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In addition to cash compensation, each non-management director also will receive an annual grant of restricted stock units (“RSUs”) valued at approximately $100,000 on the date of grant. These RSUs will fully vest on the first anniversary of the date of grant. In addition, all awards will fully vest at the director’s retirement, disability or death.</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also will pay the premium on directors’ and officers’ liability and travel accident insurance policies insuring directors. We will reimburse directors for all reasonable expenses incurred in connection with attending Board meetings.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6"/>
          <w:szCs w:val="16"/>
          <w:color w:val="auto"/>
        </w:rPr>
        <w:t>We expect that our Board of Directors will adopt a deferred compensation plan for our directors, pursuant to which any eligible director may elect to defer, with certain limitations, his or her retainer. Under the plan, we expect that deferred compensation could be notionally invested in BellRing Brands, Inc. Class A common stock equivalents or in a number of mutual funds operated by an investment manager and recordkeeper with a variety of investment strategies and objectives. Deferrals in BellRing Brands, Inc. Class A common stock equivalents would receive a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Company matching contribution, also credited in BellRing Brands, Inc. Class A common stock equivalents. Matching contributions would be 100% vested when made. Subject to stockholder approval, deferrals credited in Class A common stock equivalents and matching contributions generally would be paid in shares. Deferrals notionally invested in mutual funds would be paid in cash. Payments generally would be made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when a person leaves the Board of Directors, in one of three ways: (1) lump sum payout; (2) five-year installments or (3) ten-year installments.</w:t>
      </w:r>
    </w:p>
    <w:p>
      <w:pPr>
        <w:spacing w:after="0" w:line="23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expect that directors who also are full-time officers or employees of BellRing Brands, Inc. or Post will receive no additional compensation for serving as directors.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60"/>
          </w:cols>
          <w:pgMar w:left="24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sections set forth certain information about compensation paid to our named executive officers or “NEOs.” Robert V. Vitale, our Executive Chairman, and Darcy Horn Davenport, our President and Chief Executive Officer, each served as principal executive officers of the Company in fiscal 2019 and fiscal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references to stock-based and option awards, unless otherwise indicated, refer to awards in respect of Post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2019, fiscal 2018 and, where required, fiscal 2017 by our named executive officers: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Bonus</w:t>
            </w:r>
          </w:p>
        </w:tc>
        <w:tc>
          <w:tcPr>
            <w:tcW w:w="8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520" w:type="dxa"/>
            <w:vAlign w:val="bottom"/>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5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49"/>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Robert V. Vitale</w:t>
            </w:r>
            <w:r>
              <w:rPr>
                <w:rFonts w:ascii="Arial" w:cs="Arial" w:eastAsia="Arial" w:hAnsi="Arial"/>
                <w:sz w:val="11"/>
                <w:szCs w:val="11"/>
                <w:color w:val="auto"/>
              </w:rPr>
              <w:t>(1)</w:t>
            </w:r>
          </w:p>
        </w:tc>
        <w:tc>
          <w:tcPr>
            <w:tcW w:w="15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2019</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Executive Chairman</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3300" w:type="dxa"/>
            <w:vAlign w:val="bottom"/>
            <w:gridSpan w:val="3"/>
          </w:tcPr>
          <w:p>
            <w:pPr>
              <w:spacing w:after="0"/>
              <w:rPr>
                <w:sz w:val="20"/>
                <w:szCs w:val="20"/>
                <w:color w:val="auto"/>
              </w:rPr>
            </w:pPr>
            <w:r>
              <w:rPr>
                <w:rFonts w:ascii="Arial" w:cs="Arial" w:eastAsia="Arial" w:hAnsi="Arial"/>
                <w:sz w:val="14"/>
                <w:szCs w:val="14"/>
                <w:color w:val="auto"/>
              </w:rPr>
              <w:t>Darcy Horn Davenport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517,500</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1,732,163</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417,340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37,156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17,514</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2,721,673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gridSpan w:val="2"/>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477,292</w:t>
            </w:r>
          </w:p>
        </w:tc>
        <w:tc>
          <w:tcPr>
            <w:tcW w:w="24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296,371</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454,030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547,680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13,218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65,378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1,853,969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J. Cornille</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2019</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8"/>
              </w:rPr>
              <w:t>288,923</w:t>
            </w: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700,897</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651</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14,329</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1,004,800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SVP, Marketing</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234,649</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142,631</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24,077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00" w:type="dxa"/>
            <w:vAlign w:val="bottom"/>
            <w:gridSpan w:val="3"/>
          </w:tcPr>
          <w:p>
            <w:pPr>
              <w:spacing w:after="0"/>
              <w:rPr>
                <w:sz w:val="20"/>
                <w:szCs w:val="20"/>
                <w:color w:val="auto"/>
              </w:rPr>
            </w:pPr>
            <w:r>
              <w:rPr>
                <w:rFonts w:ascii="Arial" w:cs="Arial" w:eastAsia="Arial" w:hAnsi="Arial"/>
                <w:sz w:val="14"/>
                <w:szCs w:val="14"/>
                <w:color w:val="auto"/>
              </w:rPr>
              <w:t>Paul A. Rode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314,561</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803,920</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8,106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15,231</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1,141,818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280,456</w:t>
            </w:r>
          </w:p>
        </w:tc>
        <w:tc>
          <w:tcPr>
            <w:tcW w:w="24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176,531</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160,390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5,376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27,988</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650,741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640" w:right="160" w:hanging="436"/>
        <w:spacing w:after="0" w:line="227"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compensation was allocated to Post’s Active Nutrition business in its financial statements included herein. Mr. Vitale’s fiscal 2018 and fiscal 2017 compensation is fully disclosed in Post’s filings with the SEC, and his fiscal 2019 compensation will be fully disclosed in Post’s filings with the SEC.</w:t>
      </w:r>
    </w:p>
    <w:p>
      <w:pPr>
        <w:ind w:left="640" w:right="80" w:hanging="436"/>
        <w:spacing w:after="0" w:line="22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Fiscal 2019 stock awards aggregate grant date fair values exclude forfeitures. For fiscal 2018 stock awards, see Note 12 to Post’s Active Nutrition business’s fiscal 2018 financial statements included herein for a discussion of the determination of these amounts under FASB ASC Topic 718.</w:t>
      </w:r>
    </w:p>
    <w:p>
      <w:pPr>
        <w:spacing w:after="0" w:line="1" w:lineRule="exact"/>
        <w:rPr>
          <w:rFonts w:ascii="Arial" w:cs="Arial" w:eastAsia="Arial" w:hAnsi="Arial"/>
          <w:sz w:val="14"/>
          <w:szCs w:val="14"/>
          <w:color w:val="auto"/>
        </w:rPr>
      </w:pPr>
    </w:p>
    <w:p>
      <w:pPr>
        <w:ind w:left="640" w:right="40" w:hanging="436"/>
        <w:spacing w:after="0" w:line="229"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relate to non-qualified stock option awards granted in the fiscal year and reflect the aggregate grant date fair values computed in accordance with FASB ASC Topic 718 and do not correspond to the actual amounts that will be realized upon exercise by the NEOs. The assumptions and fair value for non-qualified stock options granted during fiscal 2019 are summarized in the table below. For fiscal 2018 stock option awards, see Note 12 to Post’s Active Nutrition business’s fiscal 2018 financial statements included herein for a discussion of the determination of these amounts under FASB ASC Topic 718.</w:t>
      </w:r>
    </w:p>
    <w:p>
      <w:pPr>
        <w:spacing w:after="0" w:line="207"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142"/>
        </w:trPr>
        <w:tc>
          <w:tcPr>
            <w:tcW w:w="4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Expected term (in years)</w:t>
            </w:r>
          </w:p>
        </w:tc>
        <w:tc>
          <w:tcPr>
            <w:tcW w:w="26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160" w:type="dxa"/>
            <w:vAlign w:val="bottom"/>
            <w:tcBorders>
              <w:top w:val="single" w:sz="8" w:color="CCEEFF"/>
            </w:tcBorders>
            <w:shd w:val="clear" w:color="auto" w:fill="CCEEFF"/>
          </w:tcPr>
          <w:p>
            <w:pPr>
              <w:spacing w:after="0"/>
              <w:rPr>
                <w:sz w:val="12"/>
                <w:szCs w:val="12"/>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Expected stock price volatility</w:t>
            </w:r>
          </w:p>
        </w:tc>
        <w:tc>
          <w:tcPr>
            <w:tcW w:w="3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29.73%</w:t>
            </w: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w:t>
            </w:r>
          </w:p>
        </w:tc>
        <w:tc>
          <w:tcPr>
            <w:tcW w:w="31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3.05%</w:t>
            </w: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Expected dividends</w:t>
            </w:r>
          </w:p>
        </w:tc>
        <w:tc>
          <w:tcPr>
            <w:tcW w:w="31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w:t>
            </w: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(per option)</w:t>
            </w:r>
          </w:p>
        </w:tc>
        <w:tc>
          <w:tcPr>
            <w:tcW w:w="3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$33.82</w:t>
            </w:r>
          </w:p>
        </w:tc>
        <w:tc>
          <w:tcPr>
            <w:tcW w:w="160" w:type="dxa"/>
            <w:vAlign w:val="bottom"/>
            <w:shd w:val="clear" w:color="auto" w:fill="CCEEFF"/>
          </w:tcPr>
          <w:p>
            <w:pPr>
              <w:spacing w:after="0"/>
              <w:rPr>
                <w:sz w:val="12"/>
                <w:szCs w:val="12"/>
                <w:color w:val="auto"/>
              </w:rPr>
            </w:pPr>
          </w:p>
        </w:tc>
      </w:tr>
    </w:tbl>
    <w:p>
      <w:pPr>
        <w:spacing w:after="0" w:line="224" w:lineRule="exact"/>
        <w:rPr>
          <w:sz w:val="20"/>
          <w:szCs w:val="20"/>
          <w:color w:val="auto"/>
        </w:rPr>
      </w:pPr>
    </w:p>
    <w:p>
      <w:pPr>
        <w:ind w:left="640" w:right="80" w:hanging="436"/>
        <w:spacing w:after="0" w:line="253"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in this column reflect bonuses earned by the NEOs during fiscal 2018 under the Post Holdings, Inc. Annual Bonus Program, discussed below. Bonuses for fiscal 2019 have not yet been determined and we expect that they will be determined in the first fiscal quarter of 2020.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180" w:hanging="436"/>
        <w:spacing w:after="0" w:line="253"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earnings on the respective NEO’s account under Post’s Deferred Compensation Plan for Key Employees and Executive Savings Investment Plan.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As described above in “Management—Compensation Committee Interlocks and Insider Participation,” the fiscal 2019 and fiscal 2018 compensation of our named executive officers (other than Mr. Vitale) was determined by Mr. Vitale or Ms. Davenport. We anticipate that Mr. Vitale and Ms. Davenport will continue to establish and manage the compensation of our named executive officers (other than Mr. Vitale) until the completion of this offering. After the completion of this offering, our executive compensation programs will be designed and implemented by our Board of Directors, through our Corporate Governance and Compensation Committee. We anticipate that our Corporate Governance and Compensation Committee will engage an independent compensation consultant to advise on the development of our executive compensation programs. The compensation programs that we adopt may differ materially from the current Post programs summarized in this Executive Compensation section.</w:t>
      </w:r>
    </w:p>
    <w:p>
      <w:pPr>
        <w:spacing w:after="0" w:line="16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As none of his compensation was allocated to Post’s Active Nutrition business in its financial statements included herein, his compensation is not otherwise discussed herein and the information in the remainder of this “Executive Compensation” section pertains to our other named executive officers.</w:t>
      </w:r>
    </w:p>
    <w:p>
      <w:pPr>
        <w:ind w:left="200" w:right="260"/>
        <w:spacing w:after="0" w:line="261" w:lineRule="auto"/>
        <w:rPr>
          <w:sz w:val="20"/>
          <w:szCs w:val="20"/>
          <w:color w:val="auto"/>
        </w:rPr>
      </w:pPr>
      <w:r>
        <w:rPr>
          <w:rFonts w:ascii="Arial" w:cs="Arial" w:eastAsia="Arial" w:hAnsi="Arial"/>
          <w:sz w:val="18"/>
          <w:szCs w:val="18"/>
          <w:color w:val="auto"/>
        </w:rPr>
        <w:t>Mr. Vitale’s fiscal 2018 and fiscal 2017 compensation and the benefit plans in which he participates are fully disclosed in Post’s filings with the SEC, and his fiscal 2019 compensation will be fully disclosed in Post’s filings with the SEC.</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Base salaries are designed to recognize and reward the skill, competency, experience and performance a named executive officer brings to the position. The total base salaries earned by our named executive officers in fiscal 2019 and fiscal 2018 are disclosed in the Summary Compensation Table above.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Incentive Plan Compensation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fiscal 2019 and fiscal 2018, each of our named executive officers participated in the Post Holdings, Inc. Annual Bonus Program, an annual incentive plan. The Annual Bonus Program is designed to reward employees for their contributions towards creating value for Post shareholders. Amounts payable to our named executive officers pursuant to awards granted under the program are determined based on achievement of business-level goals. For fiscal 2019 and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In each of fiscal 2019 and fiscal 2018, Ms. Davenport’s target bonus amount was 100% of her base salary, Mr. Cornille’s target bonus was 50% of his base salary and Mr. Rode’s target bonus amount was 50% of his base salary. Final bonus amounts are calculated by multiplying each named executive officer’s target bonus amount by the percentage bonus payout corresponding to the Adjusted EBITDA performance level for that fiscal year. The bonus earned by each named executive officer for fiscal 2018 is disclosed in the Summary Compensation Table above. The bonus earned by each named executive officer for fiscal 2019 has not yet been determined as of the date of this prospectus, and we expect that such bonus amounts will be determined in the first fiscal quarter of 2020.</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Equity awards for our named executive officers were awarded under the Post Holdings, Inc. 2012 Long-Term Incentive Plan (the “Post 2012 LTIP”), the Post Holdings, Inc. 2016 Long-Term Incentive Plan (the “Post 2016 LTIP”) and the Post Holdings, Inc. 2019 Long-Term Incentive Plan (the “Post 2019 LTIP” and, together with the Post 2012 LTIP and the Post 2016 LTIP, the “Post LTIPs”). Awards made to named executive officers consisted of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7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have adopted our own equity incentive compensation plan for the benefit of our eligible employees in connection with the offering, as described more fully below under “—BellRing Brands, Inc. 2019 Long-Term Incentive Plan.”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 Plans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Post maintains non-qualified deferred compensation plans for key employees, the Deferred Compensation Plan for Key Employees and the Executive Savings Investment Plan. Participation in these plans is limited to a select group of management or highly-compensated employees. All of our named executive officers were eligible to participate in these plans in fiscal 2019 and fiscal 2018.</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Under Post’s Deferred Compensation Plan for Key Employees,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2019 or fiscal 2018.</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Post’s Executive Savings Investment Plan allows our named executive officers to defer a portion of their salaries to be paid at a future date. In addition, Post has the ability to provide a discretionary employer contribution at the times and in the amounts designated by Post, which, if made, vest at 25% for each year of service. Eligible employees may defer between 1% and 75% of their base salaries.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both plans, our named executive officers may select specified dates in the future upon which their deferrals will be distributed, in addition to selecting distribution at separation from service. The offering will not result in our named executive officers experiencing a separation from service for this purpose at this time.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8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anticipate that our named executive officers will no longer be eligible for deferrals under the Post Deferred Compensation Plan for Key Employees and the Post Executive Savings Investment Plan beginning January 1, 2020.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Post maintains the Post Savings Investment Plan (the “Post 401(k) Plan”), which is a defined contribution savings plan for all eligible employees of the Company, including each of our named executive officers. The Post 401(k) Plan is subject to certain provisions of the Employee Retirement Income Security Act of 1974, as amended (“ERISA”), and the Code. The Post 401(k) Plan is designed to meet ERISA’s reporting and disclosure and fiduciary requirements, as well as to meet the minimum standards for participation and vesting. The Post 401(k) Plan also is intended to qualify as a cash or deferred profit sharing plan under Section 401(k) of the Code, is intended to be qualified under Section 401(a) of the Code and is the subject of a favorable determination letter from the IRS.</w:t>
      </w:r>
    </w:p>
    <w:p>
      <w:pPr>
        <w:spacing w:after="0" w:line="19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Under the Post 401(k) Plan, our named executive officers may make pre-tax and Roth contributions of their eligible compensation, which are credited with a dollar-for-dollar employer matching contribution of up to 6% of eligible compensation deferred. Matching contributions made through December 31, 2017 vest at 20% for each year of service. Effective January 1, 2018, the Post 401(k) Plan was amended to provide that matching contributions made on or after January 1, 2018 are vested when made. Our named executive officers may select from a variety of investment funds, including the Post Common Stock Fund. The matching contributions made by Post under the Post 401(k) Plan for our named executive officers for fiscal 2019 were as follows: Ms. Davenport, $16,800; Mr. Cornille, $13,726; and Mr. Rode, $14,558. No discretionary contributions were made by Post under the Executive Savings Investment Plan for our named executive officers for fiscal 2019. The matching contributions made by Post under the Post 401(k) Plan for our named executive officers, as well as the discretionary contributions made by Post under the Executive Savings Investment Plan for our named executive officers, for fiscal 2018 were as follows: Ms. Davenport, $64,664; Mr. Cornille, $23,603; and Mr. Rode, $27,379. Such amounts are included in the “All Other Compensation” column in the Summary Compensation Table above.</w:t>
      </w:r>
    </w:p>
    <w:p>
      <w:pPr>
        <w:spacing w:after="0" w:line="16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intend to adopt our own 401(k) plan in connection with the contemplated transactions, and expect it will be substantially similar to the Post 401(k) Plan.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September 30, 2019</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NQSOs and unvested RSU awards held by our named executive officers, other than Mr. Vitale, on September 30, 2019.</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04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0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or Units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Stock</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2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Have</w:t>
            </w:r>
          </w:p>
        </w:tc>
        <w:tc>
          <w:tcPr>
            <w:tcW w:w="78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2"/>
              </w:rPr>
              <w:t>Stock That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92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w:t>
            </w: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Exercise</w:t>
            </w: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Vested</w:t>
            </w:r>
            <w:r>
              <w:rPr>
                <w:rFonts w:ascii="Arial" w:cs="Arial" w:eastAsia="Arial" w:hAnsi="Arial"/>
                <w:sz w:val="12"/>
                <w:szCs w:val="12"/>
                <w:b w:val="1"/>
                <w:bCs w:val="1"/>
                <w:color w:val="auto"/>
                <w:w w:val="92"/>
              </w:rPr>
              <w:t>(13)</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(13)</w:t>
            </w:r>
          </w:p>
        </w:tc>
        <w:tc>
          <w:tcPr>
            <w:tcW w:w="0" w:type="dxa"/>
            <w:vAlign w:val="bottom"/>
          </w:tcPr>
          <w:p>
            <w:pPr>
              <w:spacing w:after="0"/>
              <w:rPr>
                <w:sz w:val="1"/>
                <w:szCs w:val="1"/>
                <w:color w:val="auto"/>
              </w:rPr>
            </w:pPr>
          </w:p>
        </w:tc>
      </w:tr>
      <w:tr>
        <w:trPr>
          <w:trHeight w:val="158"/>
        </w:trPr>
        <w:tc>
          <w:tcPr>
            <w:tcW w:w="32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2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640" w:type="dxa"/>
            <w:vAlign w:val="bottom"/>
            <w:gridSpan w:val="2"/>
          </w:tcPr>
          <w:p>
            <w:pPr>
              <w:jc w:val="center"/>
              <w:ind w:left="28"/>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88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78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108"/>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88"/>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Robert V. Vitale</w:t>
            </w:r>
            <w:r>
              <w:rPr>
                <w:rFonts w:ascii="Arial" w:cs="Arial" w:eastAsia="Arial" w:hAnsi="Arial"/>
                <w:sz w:val="12"/>
                <w:szCs w:val="12"/>
                <w:color w:val="auto"/>
              </w:rPr>
              <w:t>(1)</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ind w:left="520"/>
              <w:spacing w:after="0" w:line="136"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ind w:left="420"/>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ind w:left="620"/>
              <w:spacing w:after="0" w:line="13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440"/>
              <w:spacing w:after="0" w:line="13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tcPr>
          <w:p>
            <w:pPr>
              <w:spacing w:after="0" w:line="130" w:lineRule="exact"/>
              <w:rPr>
                <w:sz w:val="20"/>
                <w:szCs w:val="20"/>
                <w:color w:val="auto"/>
              </w:rPr>
            </w:pPr>
            <w:r>
              <w:rPr>
                <w:rFonts w:ascii="Arial" w:cs="Arial" w:eastAsia="Arial" w:hAnsi="Arial"/>
                <w:sz w:val="14"/>
                <w:szCs w:val="14"/>
                <w:color w:val="auto"/>
              </w:rPr>
              <w:t>Darcy Horn Davenport</w:t>
            </w:r>
          </w:p>
        </w:tc>
        <w:tc>
          <w:tcPr>
            <w:tcW w:w="116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6,666</w:t>
            </w:r>
            <w:r>
              <w:rPr>
                <w:rFonts w:ascii="Arial" w:cs="Arial" w:eastAsia="Arial" w:hAnsi="Arial"/>
                <w:sz w:val="12"/>
                <w:szCs w:val="12"/>
                <w:color w:val="auto"/>
              </w:rPr>
              <w:t>(2)</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3,334</w:t>
            </w:r>
          </w:p>
        </w:tc>
        <w:tc>
          <w:tcPr>
            <w:tcW w:w="240" w:type="dxa"/>
            <w:vAlign w:val="bottom"/>
          </w:tcPr>
          <w:p>
            <w:pPr>
              <w:spacing w:after="0"/>
              <w:rPr>
                <w:sz w:val="11"/>
                <w:szCs w:val="11"/>
                <w:color w:val="auto"/>
              </w:rPr>
            </w:pPr>
          </w:p>
        </w:tc>
        <w:tc>
          <w:tcPr>
            <w:tcW w:w="6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71.32</w:t>
            </w:r>
          </w:p>
        </w:tc>
        <w:tc>
          <w:tcPr>
            <w:tcW w:w="2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11/14/2026</w:t>
            </w:r>
          </w:p>
        </w:tc>
        <w:tc>
          <w:tcPr>
            <w:tcW w:w="118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2,000</w:t>
            </w:r>
            <w:r>
              <w:rPr>
                <w:rFonts w:ascii="Arial" w:cs="Arial" w:eastAsia="Arial" w:hAnsi="Arial"/>
                <w:sz w:val="12"/>
                <w:szCs w:val="12"/>
                <w:color w:val="auto"/>
              </w:rPr>
              <w:t>(5)</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211,680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5,325</w:t>
            </w:r>
            <w:r>
              <w:rPr>
                <w:rFonts w:ascii="Arial" w:cs="Arial" w:eastAsia="Arial" w:hAnsi="Arial"/>
                <w:sz w:val="12"/>
                <w:szCs w:val="12"/>
                <w:color w:val="auto"/>
              </w:rPr>
              <w:t>(3)</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10,650</w:t>
            </w:r>
          </w:p>
        </w:tc>
        <w:tc>
          <w:tcPr>
            <w:tcW w:w="2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12/01/2027</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2,485</w:t>
            </w:r>
            <w:r>
              <w:rPr>
                <w:rFonts w:ascii="Arial" w:cs="Arial" w:eastAsia="Arial" w:hAnsi="Arial"/>
                <w:sz w:val="12"/>
                <w:szCs w:val="12"/>
                <w:color w:val="auto"/>
              </w:rPr>
              <w:t>(6)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263,012</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12,339</w:t>
            </w:r>
            <w:r>
              <w:rPr>
                <w:rFonts w:ascii="Arial" w:cs="Arial" w:eastAsia="Arial" w:hAnsi="Arial"/>
                <w:sz w:val="12"/>
                <w:szCs w:val="12"/>
                <w:color w:val="auto"/>
              </w:rPr>
              <w:t>(4)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92.08</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11/13/2028</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4,319</w:t>
            </w:r>
            <w:r>
              <w:rPr>
                <w:rFonts w:ascii="Arial" w:cs="Arial" w:eastAsia="Arial" w:hAnsi="Arial"/>
                <w:sz w:val="12"/>
                <w:szCs w:val="12"/>
                <w:color w:val="auto"/>
              </w:rPr>
              <w:t>(7)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457,123</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11,992</w:t>
            </w:r>
            <w:r>
              <w:rPr>
                <w:rFonts w:ascii="Arial" w:cs="Arial" w:eastAsia="Arial" w:hAnsi="Arial"/>
                <w:sz w:val="12"/>
                <w:szCs w:val="12"/>
                <w:color w:val="auto"/>
              </w:rPr>
              <w:t>(8)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1,269,233</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Douglas J. Cornille</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588</w:t>
            </w:r>
            <w:r>
              <w:rPr>
                <w:rFonts w:ascii="Arial" w:cs="Arial" w:eastAsia="Arial" w:hAnsi="Arial"/>
                <w:sz w:val="12"/>
                <w:szCs w:val="12"/>
                <w:color w:val="auto"/>
              </w:rPr>
              <w:t>(9)</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62,234</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1,204</w:t>
            </w:r>
            <w:r>
              <w:rPr>
                <w:rFonts w:ascii="Arial" w:cs="Arial" w:eastAsia="Arial" w:hAnsi="Arial"/>
                <w:sz w:val="12"/>
                <w:szCs w:val="12"/>
                <w:color w:val="auto"/>
              </w:rPr>
              <w:t>(10)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127,431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1,727</w:t>
            </w:r>
            <w:r>
              <w:rPr>
                <w:rFonts w:ascii="Arial" w:cs="Arial" w:eastAsia="Arial" w:hAnsi="Arial"/>
                <w:sz w:val="12"/>
                <w:szCs w:val="12"/>
                <w:color w:val="auto"/>
              </w:rPr>
              <w:t>(11)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182,786</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4,797</w:t>
            </w:r>
            <w:r>
              <w:rPr>
                <w:rFonts w:ascii="Arial" w:cs="Arial" w:eastAsia="Arial" w:hAnsi="Arial"/>
                <w:sz w:val="12"/>
                <w:szCs w:val="12"/>
                <w:color w:val="auto"/>
              </w:rPr>
              <w:t>(8)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507,714</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tcPr>
          <w:p>
            <w:pPr>
              <w:spacing w:after="0" w:line="130" w:lineRule="exact"/>
              <w:rPr>
                <w:sz w:val="20"/>
                <w:szCs w:val="20"/>
                <w:color w:val="auto"/>
              </w:rPr>
            </w:pPr>
            <w:r>
              <w:rPr>
                <w:rFonts w:ascii="Arial" w:cs="Arial" w:eastAsia="Arial" w:hAnsi="Arial"/>
                <w:sz w:val="14"/>
                <w:szCs w:val="14"/>
                <w:color w:val="auto"/>
              </w:rPr>
              <w:t>Paul A. Rode</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(12)</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529,200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742</w:t>
            </w:r>
            <w:r>
              <w:rPr>
                <w:rFonts w:ascii="Arial" w:cs="Arial" w:eastAsia="Arial" w:hAnsi="Arial"/>
                <w:sz w:val="12"/>
                <w:szCs w:val="12"/>
                <w:color w:val="auto"/>
              </w:rPr>
              <w:t>(9)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78,533</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1,490</w:t>
            </w:r>
            <w:r>
              <w:rPr>
                <w:rFonts w:ascii="Arial" w:cs="Arial" w:eastAsia="Arial" w:hAnsi="Arial"/>
                <w:sz w:val="12"/>
                <w:szCs w:val="12"/>
                <w:color w:val="auto"/>
              </w:rPr>
              <w:t>(10)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157,702</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1,943</w:t>
            </w:r>
            <w:r>
              <w:rPr>
                <w:rFonts w:ascii="Arial" w:cs="Arial" w:eastAsia="Arial" w:hAnsi="Arial"/>
                <w:sz w:val="12"/>
                <w:szCs w:val="12"/>
                <w:color w:val="auto"/>
              </w:rPr>
              <w:t>(11)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205,647</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5,535</w:t>
            </w:r>
            <w:r>
              <w:rPr>
                <w:rFonts w:ascii="Arial" w:cs="Arial" w:eastAsia="Arial" w:hAnsi="Arial"/>
                <w:sz w:val="12"/>
                <w:szCs w:val="12"/>
                <w:color w:val="auto"/>
              </w:rPr>
              <w:t>(8)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585,824</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640" w:right="100" w:hanging="436"/>
        <w:spacing w:after="0" w:line="230"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equity awards were allocated to Post’s Active Nutrition business. For more information about Mr. Vitale’s outstanding equity-based awards, please see Post’s filings with the SEC.</w:t>
      </w:r>
    </w:p>
    <w:p>
      <w:pPr>
        <w:ind w:left="64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14, 2017, 2018 and 2019.</w:t>
      </w:r>
    </w:p>
    <w:p>
      <w:pPr>
        <w:ind w:left="64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December 1, 2018, 2019 and 2020.</w:t>
      </w:r>
    </w:p>
    <w:p>
      <w:pPr>
        <w:ind w:left="64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13, 2019, 2020 and 2021.</w:t>
      </w:r>
    </w:p>
    <w:p>
      <w:pPr>
        <w:ind w:left="640" w:right="20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14,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1, 2018, 2019 and 2020.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13, 2019, 2020 and 2021. The RSUs will be paid in shares of Post’s common stock within sixty days from each of the applicable vesting dates.</w:t>
      </w:r>
    </w:p>
    <w:p>
      <w:pPr>
        <w:ind w:left="640" w:right="6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April 22, 2020, 2021 and 2022.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16,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4, 2018, 2019 and 2020.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30, 2019, 2020 and 2021. The RSUs will be paid in shares of Post’s common stock within sixty days from each of the applicable vesting dates.</w:t>
      </w:r>
    </w:p>
    <w:p>
      <w:pPr>
        <w:ind w:left="640" w:right="20" w:hanging="436"/>
        <w:spacing w:after="0" w:line="238" w:lineRule="auto"/>
        <w:tabs>
          <w:tab w:leader="none" w:pos="6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640" w:hanging="436"/>
        <w:spacing w:after="0"/>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Based on Post’s closing stock price of $105.84 on September 30, 2019, the last trading day of fiscal 2019.</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fiscal 2019, in the event of an involuntary termination of employment (whether in connection with a change in control of the Company or not), Ms. Davenport was eligible for compensation and benefits under the Post Holdings, Inc. Executive Severance Plan (the “Executive Severance Plan”), Mr. Cornille and Mr. Rode were each eligible for compensation and benefits under the Post Holdings, Inc. Severance Plan for Salary Grade 16 and Above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(the “Salary Grade 16 Plan”). A description of the terms of the Executive Severance Plan and the Salary Grade 16 Plan is below. In addition, information about treatment of equity awards and non-qualified deferred compensation in the event of involuntary termination (whether in connection with a change in control of the Company or not) is provided below. The descriptions below, to the extent related to a change in control, contemplate a change in control of the Company. A change in control of Post in fiscal 2019 accompanied by an involuntary termination of employment of any of our named executive officers also would have resulted in certain payments to, and vesting of equity awards held by, our named executive officers, which may have differed from the arrangements described below.</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offering will not constitute a change in control of the Company for purposes of the arrangements described below.</w:t>
      </w:r>
    </w:p>
    <w:p>
      <w:pPr>
        <w:spacing w:after="0" w:line="225"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We anticipate that our named executive officers who are currently eligible for the Salary Grade 16 Plan will no longer be eligible for severance under that plan, and that the Company will implement its own severance plan, following the consummation of the contemplated transactions.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fiscal 2019, under the Executive Severance Plan, Ms. Davenport was eligible for severance benefits in the event of an involuntary termination without “cause” or a termination of employment by her for “good reason” (in the case of both, whether in connection with a change in control of the Company or not). The payment of benefits under the Executive Severance Plan is conditioned upon Ms. Davenport executing a general release of claims that includes confidentiality and cooperation provisions, among other provisions.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Executive Severance Plan consist of:</w:t>
      </w:r>
    </w:p>
    <w:p>
      <w:pPr>
        <w:spacing w:after="0" w:line="131" w:lineRule="exact"/>
        <w:rPr>
          <w:sz w:val="20"/>
          <w:szCs w:val="20"/>
          <w:color w:val="auto"/>
        </w:rPr>
      </w:pPr>
    </w:p>
    <w:p>
      <w:pPr>
        <w:ind w:left="1180" w:right="320" w:hanging="544"/>
        <w:spacing w:after="0" w:line="308" w:lineRule="auto"/>
        <w:tabs>
          <w:tab w:leader="none" w:pos="1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1" w:lineRule="exact"/>
        <w:rPr>
          <w:rFonts w:ascii="Arial" w:cs="Arial" w:eastAsia="Arial" w:hAnsi="Arial"/>
          <w:sz w:val="17"/>
          <w:szCs w:val="17"/>
          <w:color w:val="auto"/>
        </w:rPr>
      </w:pPr>
    </w:p>
    <w:p>
      <w:pPr>
        <w:ind w:left="1180" w:right="40" w:hanging="544"/>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In the event of an involuntary termination of employment, including by Ms. Davenport for good reason, deemed in connection with a change in control, Ms. Davenport would be eligible to receive a lump sum payment equal to the present value of continuing (a) her salary and (b) the greater of</w:t>
      </w:r>
    </w:p>
    <w:p>
      <w:pPr>
        <w:ind w:left="200" w:firstLine="4"/>
        <w:spacing w:after="0" w:line="323" w:lineRule="auto"/>
        <w:tabs>
          <w:tab w:leader="none" w:pos="4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her target bonus for the year in which termination occurred and (ii) her last annual bonus preceding the termination or change in control (whichever is greater) for three years following her involuntary termination of employment, and the payment of other benefits (as described in the next paragraph).</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Executive Severance Plan and (iii) payment of up to $20,000 of costs or expenses incurred for outplacement assistance.</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Severance Plan for Salary Grade 16 and Above</w:t>
      </w:r>
    </w:p>
    <w:p>
      <w:pPr>
        <w:spacing w:after="0" w:line="117"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In fiscal 2019, under the Salary Grade 16 Plan, each of Mr. Cornille and Mr. Rode was eligible for severance benefits in the event of an involuntary termination without “cause.” The payment of benefits under the Salary Grade 16 Plan is conditioned upon Mr. Cornille or Mr. Rode, as applicable, executing a general release of claims that includes confidentiality and cooperation provisions, among other provisions.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Salary Grade 16 Plan consist of:</w:t>
      </w:r>
    </w:p>
    <w:p>
      <w:pPr>
        <w:spacing w:after="0" w:line="131" w:lineRule="exact"/>
        <w:rPr>
          <w:sz w:val="20"/>
          <w:szCs w:val="20"/>
          <w:color w:val="auto"/>
        </w:rPr>
      </w:pPr>
    </w:p>
    <w:p>
      <w:pPr>
        <w:ind w:left="1180" w:right="440" w:hanging="544"/>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 of thirty-nine weeks (plus one week for every year of service) of the executive’s base salary (excluding bonus and incentive compensation) at the time of the qualifying termination;</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Post assesses, at the time of the termination of employment and at its discretion, that the performance criteria are met;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Severance benefits under the Salary Grade 16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Salary Grade 16 Plan also provides that each of Mr. Cornille and Mr. Rode is eligible for severance benefits in the context of a change in control of the Company in combination with his involuntary termination of employment (including for good reason).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such an event, severance benefits are as described immediately above in the subsection “—Severance Benefits Outside of the Context of a Change in Control,” except that the severance payment consists of seventy-eight weeks of base pay (rather than thirty-nine weeks of base pay), plus one week of base pay for every year of service.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Equity awards in respect of Post common stock granted to our named executive officers under the Post 2012 LTIP, the Post 2016 LTIP and the Post 2019 LTIP are subject to special provisions in the event of certain involuntary terminations and/or a change in control (as defined under the applicable award agreement) as described herein. The agreements governing all of our named executive officers’ NQSOs and RSUs issued under</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Post 2016 LTIP and the Post 2019 LTIP provide that in the event of a qualifying termination, if the executive’s employment with the Company terminates as a result of a sale of the Company or a Company subsidiary, and the acquirer does not agree to assume the award on substantially the same terms, then the award fully vests.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1" w:lineRule="exact"/>
        <w:rPr>
          <w:sz w:val="20"/>
          <w:szCs w:val="20"/>
          <w:color w:val="auto"/>
        </w:rPr>
      </w:pPr>
    </w:p>
    <w:p>
      <w:pPr>
        <w:ind w:left="1180" w:right="80" w:hanging="544"/>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Equity awards issued to our named executive officers under the Post 2012 LTIP, the Post 2016 LTIP and the Post 2019 LTIP vest in whole or in part upon a termination because of death or disability.</w:t>
      </w:r>
    </w:p>
    <w:p>
      <w:pPr>
        <w:spacing w:after="0" w:line="75" w:lineRule="exact"/>
        <w:rPr>
          <w:rFonts w:ascii="Arial" w:cs="Arial" w:eastAsia="Arial" w:hAnsi="Arial"/>
          <w:sz w:val="18"/>
          <w:szCs w:val="18"/>
          <w:color w:val="auto"/>
        </w:rPr>
      </w:pPr>
    </w:p>
    <w:p>
      <w:pPr>
        <w:jc w:val="both"/>
        <w:ind w:left="1180" w:right="100" w:hanging="544"/>
        <w:spacing w:after="0" w:line="302" w:lineRule="auto"/>
        <w:tabs>
          <w:tab w:leader="none" w:pos="1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Under an RSU award made to Mr. Rode on June 17, 2014 under the Post 2012 LTIP and which is scheduled to be fully vested on July 17, 2024, if Mr. Rode’s employment had been terminated by the Company or another Post affiliate without cause in fiscal 2019, any unvested RSUs would have become vested. This accelerated vesting provision also would apply if Mr. Rode’s employment with the Company or a subsidiary of the Company had terminated as a result of the sale of the Company or a subsidiary of the Company.</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Vested stock options granted under the Post 2016 LTIP will remain exercisable until the earlier of: six months from the date of termination of employment (except in the case of death or disability, where such options remain exercisable for three years from the date of death or termination due to disability), or the expiration of the award under its terms.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named executive officers are permitted to participate in the Post Holdings, Inc. Deferred Compensation Plan for Key Employees and the Post Holdings, Inc. Executive Savings Investment Plan. These nonqualified plans permit participants to file elections to receive distributions of account balances upon (a) a separation from service, which generally includes retirement, termination of employment or death, or (b) on specified future dates.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Our employees, including our named executive officers, currently participate in various health and welfare employee benefits under plans sponsored by Post. These plans offer benefits including medical, dental and vision coverage; life insurance, accidental death and dismemberment and disability coverage; and flexible spending accounts, among others. It is anticipated that they will continue participating in some or all of these plans following the completion of this offering, at least initially, and that the Company will offer certain benefits under its own plans effective in the months following completion of the offering.</w:t>
      </w:r>
    </w:p>
    <w:p>
      <w:pPr>
        <w:spacing w:after="0" w:line="18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details regarding the treatment of compensation and employee benefits in connection with the completion of this offering, see “Certain Relationships and Related Party Transactions—Post-Offering Relationship with Post—Employee Matters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Board of Directors and our sole stockholder, Post, approved the 2019 LTIP, which permits us to grant equity, equity-based and cash-based incentive awards to our employees, directors, managers, consultants and advisors. We do not expect to make any awards pursuant to the 2019 LTIP prior to the completion of this offering. The following is a summary of the material terms of the 2019 LTIP. This summary is qualified in its entirety by reference to the 2019 LTIP attached as an exhibit to the registration statement, of which this prospectus is a part. For purposes of this description of the 2019 LTIP, the term “non-employee director” is defined as provided in Rule 16b-3 of the Exchange Act.</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purpose of the 2019 LTIP is to attract, retain and motivate participants by offering such individuals opportunities to realize stock price appreciation, by facilitating stock ownership and/or by rewarding them for achieving a high level of performance.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Corporate Governance and Compensation Committee of the Board of Directors or another committee designated by our Board of Directors (the “Committee”) will administer the 2019 LTIP and grant awards under the 2019 LTIP. Subject to the terms of the 2019 LTIP, the Committee’s charter and applicable laws, the Committee or its delegate, or the full Board of Directors, will have the authority to interpret and administer the 2019 LTIP, make awards thereunder and prescribe the terms and conditions thereof.</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of our service providers, including any of our employees, directors, managers, consultants or advisors, are eligible to participate in the 2019 LTIP at the discretion of the Committee (or the Board of Directors, as the case may be).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Committee has the discretion to award stock options (both nonqualified and incentive stock options),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(“SARs”), performance shares, restricted stock, RSUs and other stock-based and cash-based awards. Each award will be evidenced by an agreement, certificate or other instrument or document setting forth the terms and conditions of the award, including any applicable performance criteria and period, service based or other vesting criteria or conditions on the award, and events of forfeiture. The term of the award for participants located in the U.S. will not exceed ten years. All awards will be non-transferable unless the Company permits the recipient to transfer an award not for value. No award may be exercised for a fraction of a share of Class A common stock. The exercise price applicable to stock options and stock appreciation rights will equal or exceed the fair market value of a share of our Class A common stock on the date of grant. The exercise price and/or any applicable withholding taxes with respect to any award, if the Committee so permits and upon such terms as the Committee approves, may be satisfied (a) in cash or certified bank check, (b) through delivery or tender to the Company of shares held, either actually or by attestation, by the recipient, (c) through a net or cashless form of settlement or (d) through a combination of (a), (b) and/or (c). Further, the Committee may, in its discretion, approve other methods or forms of payment and establish rules and procedures therefor. Recipients holding awards other than shares of restricted stock or RSUs will generally have no dividend or dividend-equivalent rights with respect to the shares of Class A common stock underlying the awards, and except as otherwise determined by the Committee, dividends or dividend equivalents provided for with respect to awards of restricted stock or RSUs will generally be subject to the same restrictions and conditions as the award generally and shall be payable only if and no earlier than at the same time as the underlying restricted stock or RSUs become vested.</w:t>
      </w:r>
    </w:p>
    <w:p>
      <w:pPr>
        <w:spacing w:after="0" w:line="18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The Committee may provide, in its discretion, that an award granted to a recipient is subject to the achievement of performance criteria, which shall be established by the Committee relating to one or more business criteria. Performance criteria may be applied to BellRing Brands, Inc., an affiliate, a parent, subsidiary, division, business unit or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80"/>
        <w:spacing w:after="0" w:line="264" w:lineRule="auto"/>
        <w:rPr>
          <w:sz w:val="20"/>
          <w:szCs w:val="20"/>
          <w:color w:val="auto"/>
        </w:rPr>
      </w:pPr>
      <w:r>
        <w:rPr>
          <w:rFonts w:ascii="Arial" w:cs="Arial" w:eastAsia="Arial" w:hAnsi="Arial"/>
          <w:sz w:val="18"/>
          <w:szCs w:val="18"/>
          <w:color w:val="auto"/>
        </w:rPr>
        <w:t>share, operating income, total shareholder return, compound shareholder return, market share, return on equity, average return on invested capital, pre-tax and pre-interest expense return on average invested capital, which may be expressed on a current value basis, or sales growth, marketing, operating or workplan goals.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With respect to incentive stock options, a recipient may not hold incentive stock options with a fair market value in excess of $100,000 in the year in which they are first exercisable, if this limitation is necessary to qualify the option as an incentive stock option. If, upon the grant of an incentive stock option, the recipient possesses more than 10% of the total combined voting power of all of the classes of stock of the Company, the option price for the incentive stock option will be at least 110% of the fair market value of the shares of Class A common stock subject to the option on the grant date, and the option will expire five years after the grant date. Incentive stock options may only be granted to employees of the Company. The Company has no liability to any recipient or other person if an option designated as an incentive stock option fails to qualify as such.</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Accelerated Vesting; Change in Control</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Each award will vest in whole or in part on terms provided in the award agreement. The 2019 LTIP provides that an award may permit acceleration of vesting requirements and acceleration of the expiration of the applicable term upon such terms and conditions as shall be set forth in the award. The 2019 LTIP provides for “double trigger” rather than “single trigger” accelerated vesting, meaning awards will be accelerated as the result of a change in control where the participant’s employment is involuntarily terminated or the participant terminates for “good reason” in connection with a change in control, or upon a Committee determination that such acceleration is in the best interests of the Company. With respect to performance-based awards, all performance goals will be either deemed achieved at 100% target levels and adjusted pro-rata based on the applicable performance period, or vested based upon actual performance levels, or the greater of target and pro-rated or actual performance. The Committee also may permit acceleration of vesting of such awards in certain events, including in the event of the participant’s death, disability or retirement.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the 2019 LTIP, a change in control does not include any direct or indirect spin-off, split-off or similar transaction involving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BellRing Brands, Inc. securities by any stockholder of BellRing Brands, Inc. to such stockholder’s stockholders and is otherwise limited to:</w:t>
      </w:r>
    </w:p>
    <w:p>
      <w:pPr>
        <w:spacing w:after="0" w:line="116" w:lineRule="exact"/>
        <w:rPr>
          <w:sz w:val="20"/>
          <w:szCs w:val="20"/>
          <w:color w:val="auto"/>
        </w:rPr>
      </w:pPr>
    </w:p>
    <w:p>
      <w:pPr>
        <w:ind w:left="1180" w:hanging="544"/>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replacement of a majority of the incumbent board;</w:t>
      </w:r>
    </w:p>
    <w:p>
      <w:pPr>
        <w:spacing w:after="0" w:line="130" w:lineRule="exact"/>
        <w:rPr>
          <w:rFonts w:ascii="Arial" w:cs="Arial" w:eastAsia="Arial" w:hAnsi="Arial"/>
          <w:sz w:val="18"/>
          <w:szCs w:val="18"/>
          <w:color w:val="auto"/>
        </w:rPr>
      </w:pPr>
    </w:p>
    <w:p>
      <w:pPr>
        <w:ind w:left="1180" w:right="100" w:hanging="544"/>
        <w:spacing w:after="0" w:line="342" w:lineRule="auto"/>
        <w:tabs>
          <w:tab w:leader="none" w:pos="1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acquisition or beneficial ownership of the right to direct the vote with respect to more than 50% of the combined voting power of the then outstanding securities of BellRing Brands, Inc. entitled to vote generally in the election of directors (“Voting Control”), excluding:</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direct or indirect acquisition or beneficial ownership by BellRing Brands, Inc., Post or any of its or their subsidiaries;</w:t>
      </w:r>
    </w:p>
    <w:p>
      <w:pPr>
        <w:spacing w:after="0" w:line="130" w:lineRule="exact"/>
        <w:rPr>
          <w:rFonts w:ascii="Arial" w:cs="Arial" w:eastAsia="Arial" w:hAnsi="Arial"/>
          <w:sz w:val="18"/>
          <w:szCs w:val="18"/>
          <w:color w:val="auto"/>
        </w:rPr>
      </w:pPr>
    </w:p>
    <w:p>
      <w:pPr>
        <w:ind w:left="1620" w:right="20" w:hanging="430"/>
        <w:spacing w:after="0" w:line="342" w:lineRule="auto"/>
        <w:tabs>
          <w:tab w:leader="none" w:pos="16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direct or indirect acquisition or beneficial ownership of additional securities of BellRing Brands, Inc. entitled to vote generally in the election of directors or of the right to direct such vote by a person that already beneficially owns Voting Control; or</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consummation of a reorganization, merger, share exchange or consolidation (an “LTIP Business Combination”), unless:</w:t>
      </w:r>
    </w:p>
    <w:p>
      <w:pPr>
        <w:spacing w:after="0" w:line="130" w:lineRule="exact"/>
        <w:rPr>
          <w:rFonts w:ascii="Arial" w:cs="Arial" w:eastAsia="Arial" w:hAnsi="Arial"/>
          <w:sz w:val="18"/>
          <w:szCs w:val="18"/>
          <w:color w:val="auto"/>
        </w:rPr>
      </w:pPr>
    </w:p>
    <w:p>
      <w:pPr>
        <w:ind w:left="1620" w:right="100" w:hanging="430"/>
        <w:spacing w:after="0" w:line="264" w:lineRule="auto"/>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or substantially all of the beneficial owners of Voting Control immediately prior to such LTIP Business Combination continue to beneficially own the right to direct the vote with respect to more than 50% of the combined voting power of the then outstanding securities of the entity resulting from the LTIP Business Combination;</w:t>
      </w:r>
    </w:p>
    <w:p>
      <w:pPr>
        <w:spacing w:after="0" w:line="86" w:lineRule="exact"/>
        <w:rPr>
          <w:rFonts w:ascii="Arial" w:cs="Arial" w:eastAsia="Arial" w:hAnsi="Arial"/>
          <w:sz w:val="18"/>
          <w:szCs w:val="18"/>
          <w:color w:val="auto"/>
        </w:rPr>
      </w:pPr>
    </w:p>
    <w:p>
      <w:pPr>
        <w:ind w:left="1620" w:right="180" w:hanging="430"/>
        <w:spacing w:after="0" w:line="277" w:lineRule="auto"/>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after the LTIP Business Combination, no person beneficially owns the right to direct the vote with respect to more than 50% of the combined voting power of the then outstanding securities of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520"/>
        <w:spacing w:after="0" w:line="277" w:lineRule="auto"/>
        <w:rPr>
          <w:sz w:val="20"/>
          <w:szCs w:val="20"/>
          <w:color w:val="auto"/>
        </w:rPr>
      </w:pPr>
      <w:r>
        <w:rPr>
          <w:rFonts w:ascii="Arial" w:cs="Arial" w:eastAsia="Arial" w:hAnsi="Arial"/>
          <w:sz w:val="18"/>
          <w:szCs w:val="18"/>
          <w:color w:val="auto"/>
        </w:rPr>
        <w:t>entity resulting from the LTIP Business Combination, unless such person beneficially owned Voting Control prior to the LTIP Business Combination; and</w:t>
      </w:r>
    </w:p>
    <w:p>
      <w:pPr>
        <w:spacing w:after="0" w:line="76" w:lineRule="exact"/>
        <w:rPr>
          <w:sz w:val="20"/>
          <w:szCs w:val="20"/>
          <w:color w:val="auto"/>
        </w:rPr>
      </w:pPr>
    </w:p>
    <w:p>
      <w:pPr>
        <w:ind w:left="1620" w:right="20" w:hanging="430"/>
        <w:spacing w:after="0" w:line="264"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resulting from the LTIP Business Combination were incumbent members of the board of directors at the time of the initial agreement or action of the Board of Directors approving such LTIP Business Combination;</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sale or other disposition of all or substantially all of the assets of the Company;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stockholders of the Company approve a plan to liquidate or dissolve the Company.</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Notwithstanding the foregoing, a change in control will not have occurred with respect to any award that is subject to Section 409A of the Code to the extent necessary to avoid adverse tax consequences thereunder, unless the transaction constitutes a “change in control event” under Section 409A of the Code.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Award Limits</w:t>
      </w:r>
    </w:p>
    <w:p>
      <w:pPr>
        <w:spacing w:after="0" w:line="117"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The 2019 LTIP is the Company’s only equity compensation plan with shares available for future award grants. There are 2,000,000 shares of our Class A common stock available for use under the 2019 LTIP. No more than 2,000,000 shares of Class A common stock may be granted as incentive stock options. Shares of Class A common stock issued under the 2019 LTIP may be authorized and unissued shares or treasury shares. The following shares of Class A common stock may not again be made available for issuance as awards: shares not issued as a result of the net settlement of an outstanding SAR or stock option; shares used to pay the exercise price or withholding taxes related to an outstanding award; or shares repurchased on the open market with the proceeds of a stock option exercise price. The following will not be applied to the share limitations above: any shares subject to an award under the 2019 LTIP to the extent the shares are not used because the award is forfeited, canceled, terminated, expired or lapsed for any reason; and shares and any awards that are granted through the settlement, assumption or substitution of outstanding awards previously granted, or through obligations to grant future awards, as a result of a merger, spin-off, consolidation or acquisition of the employing company with or by us. If an award is settled in cash, the number of shares of Class A common stock on which the award is based will not count toward the above share limits.</w:t>
      </w:r>
    </w:p>
    <w:p>
      <w:pPr>
        <w:spacing w:after="0" w:line="16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No participant will be granted (i) options to purchase shares of Class A common stock and SARs with respect to more than 2,000,000 shares in the aggregate, (ii) any other awards with respect to more than 2,000,000 shares of Class A common stock in the aggregate (or, in the event such award denominated or expressed in terms of number of shares of Class A common stock is paid in cash, the equivalent cash value) or (iii) any cash bonus award not denominated or expressed in terms of number of shares of Class A common stock with a value that exceeds $10,000,000 in the aggregate, in each case, in any twelve-month period under the 2019 LTIP. In addition, for any one non-employee director, the aggregate grant date fair value of awards granted during any calendar year, together with any cash retainers payable to the director and any Company matching contributions credited to the director’s nonqualified deferred compensation account for that calendar year, cannot exceed $500,000 (or $700,000 for a non-employee chairperson of the Board of Directors).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Modification and Termination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Subject to the terms of the 2019 LTIP, our Board of Directors may at any time amend, modify or suspend the 2019 LTIP, and the Committee may at any time alter or amend any or all awards under the 2019 LTIP to the extent permitted by law. Any alterations or amendments may be made unilaterally by the Committee, subject to the provisions of the 2019 LTIP, unless such amendments are deemed by the Committee to be materially adverse to the participants and are not required as a matter of law. Amendments are subject to approval of the stockholders of the Company only as required by law, or if the amendment increases the total number of shares of Class A common stock available under the 2019 LTIP, except as adjusted for specified changes in capitalization. The 2019 LTIP shall remain in effect for a term of ten years following September 30, 2019, the date on which it became effective, or until all shares of Class A common stock subject to the 2019 LTIP shall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have been purchased or acquired according to the 2019 LTIP provisions, whichever occurs first, unless the 2019 LTIP is sooner terminated pursuant to its complete terms.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Certain U.S. Federal Income Tax Consequences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is a summary of the U.S. federal income tax consequences that generally will arise with respect to awards that may be granted under the 2019 LTIP. This summary is based upon the provisions of the Code and regulations promulgated thereunder, as in effect on the date of this prospectus. Changes in the law may modify this discussion, and in some cases, the changes may be retroactive. Further, this summary is not intended to be a complete discussion of all of the federal income tax consequences associated with the 2019 LTIP. Accordingly, for precise advice as to any specific transaction or set of circumstances, participants should consult with their own tax and legal advisors. Participants also should consult with their own tax and legal advisors regarding the application of any state, local and foreign taxes and any federal gift, estate and inheritance taxes.</w:t>
      </w:r>
    </w:p>
    <w:p>
      <w:pPr>
        <w:spacing w:after="0" w:line="16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Some options may constitute “incentive stock options” within the meaning of Section 422 of the Code. If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grants an incentive stock option, the recipient will not be required to recognize income upon the grant of the incentive stock option, and the Company will not be allowed to take a deduction.</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Similarly, when the recipient exercises any incentive stock options, provided the recipient has not ceased to be an employee for more than three months before the date of exercise, the recipient will not be required to recognize income, and the Company will not be allowed to take a deduction. For purposes of the alternative minimum tax, however, the amount by which the aggregate fair market value of the Class A common stock acquired on exercise of an incentive stock option exceeds the exercise price of that option generally will be an adjustment included in the recipient’s alternative minimum taxable income for the year in which the incentive stock option is exercised. The Code imposes an alternative minimum tax on a taxpayer whose alternative minimum taxable income, as defined in Section 55(b)(2) of the Code, exceeds the taxpayer’s adjusted gross income.</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Additional tax consequences will depend upon how long recipients hold the shares of the Class A common stock received after exercising the incentive stock options. If a recipient holds the shares for more than two years from the date of grant and one year from the date of exercise of the option, upon disposition of the shares, the recipient will not recognize any ordinary income, and the Company will not be allowed to take a deduction. However, the difference between the amount the recipient realizes upon disposition of the shares and the basis (i.e., the amount the recipient paid upon exercise of the incentive stock option) in those shares will be taxed as a long-term capital gain or loss.</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the recipient disposes of shares of Class A common stock acquired upon exercise of an incentive stock option which he or she has held for less than two years from the date of grant or one year from the date of exercise, the recipient generally will recognize ordinary income in the year of the disposition. To calculate the amount of ordinary income that must be recognized upon such a disposition, the recipient must make the following determinations and calculations:</w:t>
      </w:r>
    </w:p>
    <w:p>
      <w:pPr>
        <w:spacing w:after="0" w:line="92" w:lineRule="exact"/>
        <w:rPr>
          <w:sz w:val="20"/>
          <w:szCs w:val="20"/>
          <w:color w:val="auto"/>
        </w:rPr>
      </w:pPr>
    </w:p>
    <w:p>
      <w:pPr>
        <w:ind w:left="1180" w:right="100" w:hanging="544"/>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which is smaller: the amount realized on disposition of the shares or the fair market value of the shares on the date of exercise;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next, subtract the basis in those shares from the smaller amount. This is the amount of ordinary income that the recipient must recognize.</w:t>
      </w:r>
    </w:p>
    <w:p>
      <w:pPr>
        <w:spacing w:after="0" w:line="24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To the extent that the recipient recognizes ordinary income, the Company is allowed to take a deduction. In addition, the recipient must recognize as short-term or long-term capital gain, depending on whether the holding period for the shares exceeds one year, any amount that the recipient realizes upon disposition of those shares which exceeds the fair market value of those shares on the date the recipient exercised the option. The recipient</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60"/>
          </w:cols>
          <w:pgMar w:left="24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will recognize a short-term or long-term capital loss, depending on whether the holding period for the shares exceeds one year, to the extent the basis in the shares exceeds the amount realized upon disposition of those shares.</w:t>
      </w:r>
    </w:p>
    <w:p>
      <w:pPr>
        <w:spacing w:after="0" w:line="170"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As noted above, the excess of the fair market value of the shares of Class A common stock at the time the recipient exercises his or her incentive stock option over the exercise price for the shares is a tax adjustment item for the purposes of the alternative minimum tax.</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If the recipient receives a NQSO, the recipient will not recognize income at the time of the grant of the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recipient will recognize ordinary income upon the exercise of the NQSO. The amount of ordinary income recognized equals the difference between (a) the fair market value of the Class A common stock on the date of exercise and (b) the exercise price. The Company will be entitled to a deduction in the same amount. The ordinary income the recipient recognizes will be subject to applicable tax withholding by the Company. When the recipient sells these shares, any difference between the sales price and the basis (i.e., the exercise price plus the ordinary income recognized by the recipient) will be treated as a capital gain or loss.</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Unless a timely Section 83(b) election is made as described in the following paragraph, a recipient generally will not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income upon the grant of restricted stock because the restricted stock generally will be nontransferable and subject to a substantial risk of forfeiture. A recipient will recognize ordinary income when the restrictions that impose a substantial risk of forfeiture of the shares of Class A common stock or the transfer restrictions lapse. The amount recognized will be equal to the difference between the fair market value of the shares at this time and the original purchase price paid for the shares, if any. The ordinary income recognized by a recipient with respect to restricted stock awarded under the 2019 LTIP will be subject to applicable tax withholding by the Company. If a timely Section 83(b) election has not been made, any dividends received with respect to Class A common stock subject to such restrictions will be treated as additional compensation income and not as dividend income.</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 recipient may elect, pursuant to Section 83(b) of the Code, to recognize as ordinary income the fair market value of the restricted stock upon grant, notwithstanding that the restricted stock would otherwise not be includable in gross income at that time. If the election is made within 30 days of the date of grant, then the recipient would include in gross income an amount equal to the difference between the fair market value of the restricted stock on the date of grant and the purchase price paid for the restricted stock, if any. Any change in the value of the shares after the date of grant will be taxed as a capital gain or capital loss only if and when the shares are disposed of by the recipient. If the Section 83(b) election is made, the recipient’s capital gains holding period begins on the date of grant.</w:t>
      </w:r>
    </w:p>
    <w:p>
      <w:pPr>
        <w:spacing w:after="0" w:line="19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Section 83(b) election is irrevocable. If a Section 83(b) election is made and the recipient then forfeits the restricted stock, the recipient may not deduct as a loss the amount previously included in gross income.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recipient’s tax basis in shares of restricted stock received pursuant to the 2019 LTIP will be equal to the sum of the amount (if any) the recipient paid for the Class A common stock and the amount of ordinary income recognized by the recipient as a result of making a Section 83(b) election or upon the lapse of the restrictions. Unless a Section 83(b) election is made, the recipient’s holding period for the shares for purposes of determining gain or loss on a subsequent sale will begin on the date the restrictions lapse.</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general, the Company will be entitled to a deduction at the same time and in an amount equal to the ordinary income recognized by a recipient with respect to shares of restricted stock awarded pursuant to the 2019 LTIP.</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subsequent to the lapse of the restrictions on the shares, the recipient sells the shares, the difference, if any, between the amount realized from the sale and the tax basis of the shares to the recipient will be taxed as a capital gain or capital loss.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Stock Appreciation Rights / Performance Shares / Restricted Stock Units</w:t>
      </w:r>
      <w:r>
        <w:rPr>
          <w:rFonts w:ascii="Arial" w:cs="Arial" w:eastAsia="Arial" w:hAnsi="Arial"/>
          <w:sz w:val="17"/>
          <w:szCs w:val="17"/>
          <w:color w:val="auto"/>
        </w:rPr>
        <w:t>. A recipient generally will not recognize taxable income upon the grant</w:t>
      </w:r>
      <w:r>
        <w:rPr>
          <w:rFonts w:ascii="Arial" w:cs="Arial" w:eastAsia="Arial" w:hAnsi="Arial"/>
          <w:sz w:val="17"/>
          <w:szCs w:val="17"/>
          <w:i w:val="1"/>
          <w:iCs w:val="1"/>
          <w:color w:val="auto"/>
        </w:rPr>
        <w:t xml:space="preserve"> </w:t>
      </w:r>
      <w:r>
        <w:rPr>
          <w:rFonts w:ascii="Arial" w:cs="Arial" w:eastAsia="Arial" w:hAnsi="Arial"/>
          <w:sz w:val="17"/>
          <w:szCs w:val="17"/>
          <w:color w:val="auto"/>
        </w:rPr>
        <w:t>of SARs, performance shares or RSUs. Instead, a recipient will recognize as ordinary income, and the Company will have a corresponding deduction of, any cash delivered and the fair market value of any Class A common stock delivered in payment of an amount due under the SAR, performance share or RSU award. The ordinary income the recipient recognizes will be subject to applicable tax withholding by the Company.</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Upon selling any Class A common stock received by a recipient in payment of an amount due under a SAR, performance share or RSU award, the recipient generally will recognize a capital gain or loss in an amount equal to the difference between the sale price of the Class A common stock and the recipient’s tax basis in the Class A common stock (i.e., the ordinary income recognized by the recipient).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Other Stock-Based and Cash-Based Awards</w:t>
      </w:r>
      <w:r>
        <w:rPr>
          <w:rFonts w:ascii="Arial" w:cs="Arial" w:eastAsia="Arial" w:hAnsi="Arial"/>
          <w:sz w:val="16"/>
          <w:szCs w:val="16"/>
          <w:color w:val="auto"/>
        </w:rPr>
        <w:t>. The tax consequences associated with any other stock-based or cash-based award granted under the</w:t>
      </w:r>
    </w:p>
    <w:p>
      <w:pPr>
        <w:spacing w:after="0" w:line="46"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2019 LTIP will vary depending on the specific terms of the award, including whether the award has a readily ascertainable fair market value, whether or not the award is subject to forfeiture provisions or restrictions on transfer, the nature of the property to be received by the recipient under the award, any applicable holding period and the recipient’s tax basis.</w:t>
      </w:r>
    </w:p>
    <w:p>
      <w:pPr>
        <w:spacing w:after="0" w:line="19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Section 409A of the Code</w:t>
      </w:r>
      <w:r>
        <w:rPr>
          <w:rFonts w:ascii="Arial" w:cs="Arial" w:eastAsia="Arial" w:hAnsi="Arial"/>
          <w:sz w:val="16"/>
          <w:szCs w:val="16"/>
          <w:color w:val="auto"/>
        </w:rPr>
        <w:t>. Pursuant to Section 409A of the Code, significant restrictions have been imposed on the ability to defer the taxation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including, without limitation, the deferral of income pursuant to some of the arrangements described herein (e.g., performance shares). Violation of Section 409A of the Code triggers immediate inclusion in income and application of income and additional taxes.</w:t>
      </w:r>
    </w:p>
    <w:p>
      <w:pPr>
        <w:spacing w:after="0" w:line="14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i w:val="1"/>
          <w:iCs w:val="1"/>
          <w:color w:val="auto"/>
        </w:rPr>
        <w:t>Section 280G of the Code and Section 4999 of the Code</w:t>
      </w:r>
      <w:r>
        <w:rPr>
          <w:rFonts w:ascii="Arial" w:cs="Arial" w:eastAsia="Arial" w:hAnsi="Arial"/>
          <w:sz w:val="16"/>
          <w:szCs w:val="16"/>
          <w:color w:val="auto"/>
        </w:rPr>
        <w:t>. Under Section 280G of the Code and Section 4999 of the Code,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prohibited from deducting any “excess parachute payment” to an individual, and the individual must pay a 20% excise tax on any “excess parachute payment.” An individual’s “parachute payments” which exceed his or her average annual compensation will generally be treated as “excess parachute payments” if the present value of such payments equals or exceeds three times the individual’s average annual compensation. A payment generally may be considered a “parachute payment” if it is contingent on a change in control of the Company, as defined in Sections 280G and 4999 of the Code.</w:t>
      </w:r>
    </w:p>
    <w:p>
      <w:pPr>
        <w:spacing w:after="0" w:line="15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auto"/>
        </w:rPr>
        <w:t>Non-U.S. Taxpayers</w:t>
      </w:r>
      <w:r>
        <w:rPr>
          <w:rFonts w:ascii="Arial" w:cs="Arial" w:eastAsia="Arial" w:hAnsi="Arial"/>
          <w:sz w:val="18"/>
          <w:szCs w:val="18"/>
          <w:color w:val="auto"/>
        </w:rPr>
        <w:t>. If the recipient is subject to the tax laws of any country other than the U.S., the recipient should consult his or her own tax</w:t>
      </w:r>
      <w:r>
        <w:rPr>
          <w:rFonts w:ascii="Arial" w:cs="Arial" w:eastAsia="Arial" w:hAnsi="Arial"/>
          <w:sz w:val="18"/>
          <w:szCs w:val="18"/>
          <w:i w:val="1"/>
          <w:iCs w:val="1"/>
          <w:color w:val="auto"/>
        </w:rPr>
        <w:t xml:space="preserve"> </w:t>
      </w:r>
      <w:r>
        <w:rPr>
          <w:rFonts w:ascii="Arial" w:cs="Arial" w:eastAsia="Arial" w:hAnsi="Arial"/>
          <w:sz w:val="18"/>
          <w:szCs w:val="18"/>
          <w:color w:val="auto"/>
        </w:rPr>
        <w:t>and legal advisors to determine the tax and legal consequences of any award received under the 2019 LTIP.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immediately following the completion of the formation transactions and this offering for:</w:t>
      </w:r>
    </w:p>
    <w:p>
      <w:pPr>
        <w:spacing w:after="0" w:line="76" w:lineRule="exact"/>
        <w:rPr>
          <w:sz w:val="20"/>
          <w:szCs w:val="20"/>
          <w:color w:val="auto"/>
        </w:rPr>
      </w:pPr>
    </w:p>
    <w:p>
      <w:pPr>
        <w:ind w:left="1180" w:hanging="54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any class of our voting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directors and any director nominees;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following information has been presented in accordance with the SEC’s rules and is not necessarily indicative of beneficial ownership for any other purpose. Under the SEC’s rules, beneficial ownership of a class of capital stock as of any date includes any shares of that class as to which a person, directly or indirectly, has or shares voting power or investment power as of that date and also any shares as to which a person has the right to acquire sole or shared voting or investment power as of or within 60 days after that date through the exercise of any stock option, warrant or other right (including any conversion or redemption right). The number of shares of our Class A common stock outstanding and the percentage of beneficial ownership immediately following this offering are based on the number of BellRing Brands, LLC Units to be issued in connection with the formation transactions and the assumed redemption by Post of all of its BellRing Brands, LLC Units for shares of our Class A common stock. Subject to the terms of the amended and restated limited liability company agreement, BellRing Brands, LLC Units may be redeemed for, at the option of BellRing Brands, LLC (as determined by its Board of Managers), shares of our Class A common stock, or for cash.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See “Certain Relationships and Related Party Transactions—Post-Offering Relationship with Post—Amended and Restated Limited Liability Company Agreement.”</w:t>
      </w:r>
    </w:p>
    <w:p>
      <w:pPr>
        <w:spacing w:after="0" w:line="16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address of each director, director nominee and named executive officer shown in the table below is c/o BellRing Brands, Inc., 2503 S. Hanley Road, St. Louis, Missouri 63144.</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ind w:left="66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Beneficially Owned</w:t>
            </w:r>
          </w:p>
        </w:tc>
        <w:tc>
          <w:tcPr>
            <w:tcW w:w="240" w:type="dxa"/>
            <w:vAlign w:val="bottom"/>
          </w:tcPr>
          <w:p>
            <w:pPr>
              <w:spacing w:after="0"/>
              <w:rPr>
                <w:sz w:val="14"/>
                <w:szCs w:val="1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 Name</w:t>
            </w:r>
          </w:p>
        </w:tc>
        <w:tc>
          <w:tcPr>
            <w:tcW w:w="12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1120" w:type="dxa"/>
            <w:vAlign w:val="bottom"/>
            <w:tcBorders>
              <w:top w:val="single" w:sz="8" w:color="auto"/>
            </w:tcBorders>
            <w:gridSpan w:val="2"/>
          </w:tcPr>
          <w:p>
            <w:pPr>
              <w:ind w:left="440"/>
              <w:spacing w:after="0" w:line="119" w:lineRule="exact"/>
              <w:rPr>
                <w:sz w:val="20"/>
                <w:szCs w:val="20"/>
                <w:color w:val="auto"/>
              </w:rPr>
            </w:pPr>
            <w:r>
              <w:rPr>
                <w:rFonts w:ascii="Arial" w:cs="Arial" w:eastAsia="Arial" w:hAnsi="Arial"/>
                <w:sz w:val="13"/>
                <w:szCs w:val="13"/>
                <w:b w:val="1"/>
                <w:bCs w:val="1"/>
                <w:color w:val="auto"/>
                <w:w w:val="94"/>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540" w:type="dxa"/>
            <w:vAlign w:val="bottom"/>
            <w:gridSpan w:val="3"/>
            <w:vMerge w:val="continue"/>
          </w:tcPr>
          <w:p>
            <w:pPr>
              <w:spacing w:after="0"/>
              <w:rPr>
                <w:sz w:val="15"/>
                <w:szCs w:val="15"/>
                <w:color w:val="auto"/>
              </w:rPr>
            </w:pPr>
          </w:p>
        </w:tc>
        <w:tc>
          <w:tcPr>
            <w:tcW w:w="12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(1)</w:t>
            </w:r>
          </w:p>
        </w:tc>
        <w:tc>
          <w:tcPr>
            <w:tcW w:w="240" w:type="dxa"/>
            <w:vAlign w:val="bottom"/>
          </w:tcPr>
          <w:p>
            <w:pPr>
              <w:spacing w:after="0"/>
              <w:rPr>
                <w:sz w:val="15"/>
                <w:szCs w:val="15"/>
                <w:color w:val="auto"/>
              </w:rPr>
            </w:pPr>
          </w:p>
        </w:tc>
        <w:tc>
          <w:tcPr>
            <w:tcW w:w="6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8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6"/>
              </w:rPr>
              <w:t>Principal Stockholder:</w:t>
            </w:r>
          </w:p>
        </w:tc>
        <w:tc>
          <w:tcPr>
            <w:tcW w:w="50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Post Holdings, Inc.</w:t>
            </w:r>
            <w:r>
              <w:rPr>
                <w:rFonts w:ascii="Arial" w:cs="Arial" w:eastAsia="Arial" w:hAnsi="Arial"/>
                <w:sz w:val="12"/>
                <w:szCs w:val="12"/>
                <w:color w:val="auto"/>
              </w:rPr>
              <w:t>(2)</w:t>
            </w: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97,474,180</w:t>
            </w:r>
            <w:r>
              <w:rPr>
                <w:rFonts w:ascii="Arial" w:cs="Arial" w:eastAsia="Arial" w:hAnsi="Arial"/>
                <w:sz w:val="12"/>
                <w:szCs w:val="12"/>
                <w:color w:val="auto"/>
              </w:rPr>
              <w:t>(3)</w:t>
            </w: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74.0</w:t>
            </w:r>
            <w:r>
              <w:rPr>
                <w:rFonts w:ascii="Arial" w:cs="Arial" w:eastAsia="Arial" w:hAnsi="Arial"/>
                <w:sz w:val="12"/>
                <w:szCs w:val="12"/>
                <w:color w:val="auto"/>
              </w:rPr>
              <w:t>(3)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300" w:type="dxa"/>
            <w:vAlign w:val="bottom"/>
            <w:gridSpan w:val="3"/>
          </w:tcPr>
          <w:p>
            <w:pPr>
              <w:ind w:left="9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Directors and Director Nominees: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Robert V. Vitale</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Darcy Horn Davenport</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Paul A. Rode</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Douglas J. Cornille</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Thomas P. Erickson</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Jennifer Kuperman</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Elliot H. Stein, Jr.</w:t>
            </w: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directors, director nominees and executive officers as a group (ten persons)</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Less than one percent.</w:t>
      </w:r>
    </w:p>
    <w:p>
      <w:pPr>
        <w:ind w:left="640" w:hanging="436"/>
        <w:spacing w:after="0" w:line="221" w:lineRule="auto"/>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Assumes that the underwriters will not exercise their over-allotment option to purchase additional shares of our Class A common stock.</w:t>
      </w:r>
    </w:p>
    <w:p>
      <w:pPr>
        <w:ind w:left="640" w:right="40" w:hanging="436"/>
        <w:spacing w:after="0" w:line="221" w:lineRule="auto"/>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2503 S. Hanley Road, St. Louis, Missouri 63144. Post is a publicly traded company. For information regarding our relationship with Post, see “Certain Relationships and Related Party Transactions—Post-Offering Relationship with Post.”</w:t>
      </w:r>
    </w:p>
    <w:p>
      <w:pPr>
        <w:ind w:left="640" w:hanging="436"/>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the shares of Class A common stock that may be acquired upon the redemption of BellRing Brands, LLC Units held by Post.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Unrestricted Subsidiary Designation</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 Bridge Loan</w:t>
      </w:r>
    </w:p>
    <w:p>
      <w:pPr>
        <w:spacing w:after="0" w:line="121"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color w:val="auto"/>
        </w:rPr>
        <w:t>Prior to the completion of this offering, Post borrowed $1,225.0 million under the Post bridge loan pursuant to a bridge facility agreement that Post and certain of its subsidiaries as guarantors (other than BellRing Brands, Inc., but including BellRing Brands, LLC and its domestic subsidiaries) entered into with various financial institutions, including certain affiliates of the underwriters in this offering. The Post bridge loan will bear interest at a rate per annum equal to (i) for the period from and including October 11, 2019 to but excluding October 21, 2019, the Eurodollar Rate (as such term is defined in the bridge facility agreement) plus 450 basis points, (ii) for the period from and including October 21, 2019 to but excluding October 25, 2019, the Eurodollar Rate plus 500 basis points, (iii) for the period from and including October 25, 2019 to but excluding February 8, 2020, 12.00% and</w:t>
      </w:r>
    </w:p>
    <w:p>
      <w:pPr>
        <w:spacing w:after="0" w:line="5" w:lineRule="exact"/>
        <w:rPr>
          <w:sz w:val="20"/>
          <w:szCs w:val="20"/>
          <w:color w:val="auto"/>
        </w:rPr>
      </w:pPr>
    </w:p>
    <w:p>
      <w:pPr>
        <w:jc w:val="both"/>
        <w:ind w:left="200" w:right="60" w:firstLine="4"/>
        <w:spacing w:after="0" w:line="255" w:lineRule="auto"/>
        <w:tabs>
          <w:tab w:leader="none" w:pos="5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period from and including February 8, 2020 to but excluding the maturity date, 12.25%. Payments of interest on the Post bridge loan are due on October 21, 2019, October 25, 2019, December 31, 2019, and the last day of each quarter thereafter. The Post bridge loan will mature on August 23, 2024.</w:t>
      </w:r>
    </w:p>
    <w:p>
      <w:pPr>
        <w:spacing w:after="0" w:line="190"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w:t>
      </w:r>
    </w:p>
    <w:p>
      <w:pPr>
        <w:spacing w:after="0" w:line="2" w:lineRule="exact"/>
        <w:rPr>
          <w:sz w:val="20"/>
          <w:szCs w:val="20"/>
          <w:color w:val="auto"/>
        </w:rPr>
      </w:pPr>
    </w:p>
    <w:p>
      <w:pPr>
        <w:ind w:left="520" w:hanging="316"/>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BellRing Brands, LLC’s obligations under the Post bridge loan will become secured by a first priority security interest in substantially all of the</w:t>
      </w:r>
    </w:p>
    <w:p>
      <w:pPr>
        <w:spacing w:after="0" w:line="20" w:lineRule="exact"/>
        <w:rPr>
          <w:rFonts w:ascii="Arial" w:cs="Arial" w:eastAsia="Arial" w:hAnsi="Arial"/>
          <w:sz w:val="17"/>
          <w:szCs w:val="17"/>
          <w:color w:val="auto"/>
        </w:rPr>
      </w:pPr>
    </w:p>
    <w:p>
      <w:pPr>
        <w:ind w:left="200" w:right="40"/>
        <w:spacing w:after="0" w:line="255" w:lineRule="auto"/>
        <w:rPr>
          <w:rFonts w:ascii="Arial" w:cs="Arial" w:eastAsia="Arial" w:hAnsi="Arial"/>
          <w:sz w:val="17"/>
          <w:szCs w:val="17"/>
          <w:color w:val="auto"/>
        </w:rPr>
      </w:pPr>
      <w:r>
        <w:rPr>
          <w:rFonts w:ascii="Arial" w:cs="Arial" w:eastAsia="Arial" w:hAnsi="Arial"/>
          <w:sz w:val="18"/>
          <w:szCs w:val="18"/>
          <w:color w:val="auto"/>
        </w:rPr>
        <w:t>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 and related interest.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the debt facilities consisting of a $200.0 million revolving credit facility and an approximately $700.0 million term loan facility, and use the proceeds of the borrowings thereunder to repay the remaining balance of the Post bridge loan and all interest thereunder and for the other purposes described under “Use of Proceeds.”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debt facilities, will borrow the full amount available under the term loan facility and $100.0 million under the revolving credit facility, resulting in net proceeds to BellRing Brands, LLC of approximately $2.3 million, after deducting fees and expenses (including original issue discount with respect to the term loan facility), repayment of the remaining portion of the Post bridge loan and related interest and repayment of cash and cash equivalents to Post.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We expect that the revolving credit facility also will be available for working capital and for general corporate purposes (including acquisitions) and that a portion of the revolving credit facility will be available for up to approximately $20.0 million in letter of credit issuances. The debt facilities also may include incremental revolving and term loan facilities at our request and at the discretion of the lenders, on terms to be agreed upon with such lenders.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expect the debt facilities to contain customary representations and warranties that are made at 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 In addition, we will be required to maintain a maximum total net leverage ratio not to exceed 6.00:1.00, as measured at the end of any fiscal quarter, commencing with the first full fiscal quarter after the closing date of the debt facilities.</w:t>
      </w:r>
    </w:p>
    <w:p>
      <w:pPr>
        <w:spacing w:after="0" w:line="17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 interest rate for the term loan facility will be, at our option, either (a) a LIBOR rate or (b) a base rate determined by reference to the highest of (i) the prime rate, (ii) the federal funds rate plus 0.50% per annum and (iii) one-month LIBOR plus 1.00% per annum, in each case plus an applicable margin of 5.00% for LIBOR loans or 4.00% for base rate loans. We expect that the term loan facility will require scheduled amortization payments in an annual amount equal to 5.00% of the original principal amount of the term loans, payable quarterly (commencing on March 31, 2020), with the balance to be paid at maturity on October 21, 2024. We expect that the term loan facility will provide for customary mandatory prepayment provisions, including provisions for mandatory prepayment (a) from the net cash proceeds of certain asset sales and (b) beginning with the fiscal year ending September 30, 2020, 75% of annual excess cash flow (which percentage will be reduced to 50% if the secured net leverage ratio is below a specified level as of a fiscal year end), and will provide that the terms loans may be optionally prepaid at 101% of the principal amount thereof at any time during the first year of the facility, and without premium or penalty thereafter.</w:t>
      </w:r>
    </w:p>
    <w:p>
      <w:pPr>
        <w:spacing w:after="0" w:line="182" w:lineRule="exact"/>
        <w:rPr>
          <w:sz w:val="20"/>
          <w:szCs w:val="20"/>
          <w:color w:val="auto"/>
        </w:rPr>
      </w:pPr>
    </w:p>
    <w:p>
      <w:pPr>
        <w:ind w:left="200" w:right="100" w:firstLine="441"/>
        <w:spacing w:after="0" w:line="285" w:lineRule="auto"/>
        <w:rPr>
          <w:sz w:val="20"/>
          <w:szCs w:val="20"/>
          <w:color w:val="auto"/>
        </w:rPr>
      </w:pPr>
      <w:r>
        <w:rPr>
          <w:rFonts w:ascii="Arial" w:cs="Arial" w:eastAsia="Arial" w:hAnsi="Arial"/>
          <w:sz w:val="16"/>
          <w:szCs w:val="16"/>
          <w:color w:val="auto"/>
        </w:rPr>
        <w:t>We expect that the interest rate for the revolving credit facility will be, at our option, either (a) a LIBOR rate or (b) a base rate determined in the same manner as for the term loan facility, in each case plus an applicable margin. The applicable margin during the first full fiscal quarter following the closing date will be 4.25% for LIBOR loans and 3.25% for base rate loans. We expect that, following the first full fiscal quarter after the closing date, the applicable margin for LIBOR loans and base rate loans will be (i) 4.25% and 3.25%, respectively, if the secured net leverage ratio is greater than or equal to 3.50:1:00, (ii) 4.00% and 3.00%, respectively, if the secured net leverage ratio is less than 3.50:1:00 and greater than or equal to 2.50:1.00 or</w:t>
      </w:r>
    </w:p>
    <w:p>
      <w:pPr>
        <w:spacing w:after="0" w:line="2" w:lineRule="exact"/>
        <w:rPr>
          <w:sz w:val="20"/>
          <w:szCs w:val="20"/>
          <w:color w:val="auto"/>
        </w:rPr>
      </w:pPr>
    </w:p>
    <w:p>
      <w:pPr>
        <w:ind w:left="200" w:right="20" w:firstLine="4"/>
        <w:spacing w:after="0" w:line="254" w:lineRule="auto"/>
        <w:tabs>
          <w:tab w:leader="none" w:pos="5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3.75% and 2.75%, respectively, if the secured net leverage ratio is less than 2.50:1:00. We expect that BellRing Brands, LLC will pay the revolving lenders a facility fee per annum on the average daily unused portion of the revolving commitments through the maturity date for the applicable revolving credit commitments, which fee varies between 0.50% and 0.25% based on the total secured net leverage ratio as of each fiscal quarter end. We expect that the revolving credit facility will have a maturity date of October 21, 2024.</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The following is a summary of all material characteristics of our capital stock as set forth in our amended and restated certificate of incorporation and our amended and restated bylaws, which will become effective upon the consummation of this offering. This summary does not purport to be complete and is qualified in its entirety by reference to our amended and restated certificate of incorporation and our amended and restated bylaws, each of which are incorporated by reference as exhibits to the registration statement of which this prospectus is a part, and the applicable provisions of Delaware law. You are encouraged to read our amended and restated certificate of incorporation and our amended and restated bylaws for greater detail on the provisions that may be important to you.</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connection with the formation transactions and this offering, we intend to amend and restate our certificate of incorporation so that our authorized capital stock will consist of 500,000,000 shares of Class A common stock, par value $0.01 per share, one share of Class B common stock, par value $0.01 per share, and 50,000,000 shares of preferred stock, par value $0.01 per share.</w:t>
      </w:r>
    </w:p>
    <w:p>
      <w:pPr>
        <w:spacing w:after="0" w:line="181" w:lineRule="exact"/>
        <w:rPr>
          <w:sz w:val="20"/>
          <w:szCs w:val="20"/>
          <w:color w:val="auto"/>
        </w:rPr>
      </w:pPr>
    </w:p>
    <w:p>
      <w:pPr>
        <w:ind w:left="200" w:right="520" w:firstLine="441"/>
        <w:spacing w:after="0" w:line="286" w:lineRule="auto"/>
        <w:rPr>
          <w:sz w:val="20"/>
          <w:szCs w:val="20"/>
          <w:color w:val="auto"/>
        </w:rPr>
      </w:pPr>
      <w:r>
        <w:rPr>
          <w:rFonts w:ascii="Arial" w:cs="Arial" w:eastAsia="Arial" w:hAnsi="Arial"/>
          <w:sz w:val="17"/>
          <w:szCs w:val="17"/>
          <w:color w:val="auto"/>
        </w:rPr>
        <w:t>After consummation of this offering, we will have 34,285,714 shares of our Class A common stock outstanding (or 39,428,571 shares if the underwriters exercise their over-allotment option in full), one share of our Class B common stock outstanding and no shares of preferred stock outstanding. We have received approval to list our Class A common stock on the NYSE under the symbol “BRBR”.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Holders of our Class A common stock will be entitled to one vote for each share held on all matters submitted to stockholders for their vote or approval.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 Units held by Post and its affiliates (other than us), and (ii) in the event that any BellRing Brands, LLC Units are held by persons other than us or Post and its affiliates, then Post, or its applicable affiliate, as the holder of the share of our Class B common stock, will cast the remainder of the votes to which the share of our Class B common stock is entitled only in accordance with instructions and directions from such other holders of the BellRing Brands, LLC Units in accordance with proxies granted by Post to, or voting agreements or other voting arrangements entered into by Post with, such other holders pursuant to the amended and restated limited liability company agreement. The holders of our Class A common stock and the holder of our Class B common stock will vote together as a single class on all matters submitted to stockholders for their vote or approval,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Following the formation transactions and this offering, Post will own the share of our Class B common stock and will therefore control 67% of the combined voting power of our outstanding common stock. In any event, Post will be able to control our business policies and affairs and any action requiring the general approval of our stockholders, including the adoption of amendments to our amended and restated certificate of</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incorporation and our amended and restated bylaws, the approval of mergers or sales of substantially all of our assets and the removal of members of our Board of Directors with or without cause. For so long as Post or its affiliates (other than us) directly own more than 50% of the BellRing Brands, LLC Units as described in this prospectus, Post also will have the power to nominate a majority of the members to our Board of Directors under our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The holders of our Class A common stock will be entitled to receive dividends when, as and if declared by our Board of Directors out of legally available funds. The holder of our Class B common stock will not have any right to receive dividends.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u w:val="single" w:color="auto"/>
          <w:color w:val="auto"/>
        </w:rPr>
        <w:t>Liquidation or Dissolution</w:t>
      </w:r>
      <w:r>
        <w:rPr>
          <w:rFonts w:ascii="Arial" w:cs="Arial" w:eastAsia="Arial" w:hAnsi="Arial"/>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its par value, the holder of our Class B common stock will not have any right to receive a distribution upon a liquidation or dissolution of our Company.</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Subject to the terms of the amended and restated limited liability company agreement, BellRing Brands, LLC Units will be redeemable for, at BellRing Brands, LLC’s option (as determined by its Board of Managers), (i) shares of our Class A common stock or (ii) cash (based on the market price of the shares of our Class A common stock). Each such redemption will be at an initial redemption rate of one share of Class A common stock for one BellRing Brands, LLC Unit, subject to customary redemption rate adjustments for stock splits, stock dividends and reclassifications.</w:t>
      </w:r>
    </w:p>
    <w:p>
      <w:pPr>
        <w:spacing w:after="0" w:line="18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share of our Class B common stock will initially be owned by Post and may not be transferred except to an affiliate of Post (other than us); provided that Post may grant one or more proxies to, or enter into one or more voting agreements or other voting arrangements with, any persons other than us or Post’s affiliates to whom Post or any of its affiliates (other than us) transfers BellRing Brands, LLC Units pursuant to the amended and restated limited liability company agreement, and Post may transfer the share of our Class B common stock in connection with any distribution of its ownership interests in BellRing Brands, LLC by means of a spin-off or split-off to its shareholders.</w:t>
      </w:r>
    </w:p>
    <w:p>
      <w:pPr>
        <w:spacing w:after="0" w:line="1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Our Class A common stock and our Class B common stock will have no preemptive rights pursuant to the terms of our amended and restated certificate of incorporation. There will be no redemption or sinking fund provisions applicable to our Class A common stock or our Class B common stock. The outstanding share of our Class B common stock issued in connection with the formation transactions will be fully paid and non-assessable, and the shares of our Class A common stock offered by us in this offering, upon payment and delivery in accordance with the underwriting agreement, will be fully paid and non-assessable.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Following the formation transactions and this offering, we will be authorized to issue up to 50,000,000 shares of preferred stock. Our Board of 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our stockholders, subject to applicable rules of the NYSE and Delaware law.</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 We have no current plan to issue any shares of preferred stock following the consummation of this offering.</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Delaware General Corporation Law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66"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Our amended and restated certificate of incorporation will include certain provisions regulating and defining the conduct of our affairs to the extent that they may involve Post and its directors, officers, employees, agents and affiliates (except that we and our subsidiaries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The provision generally will provide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See “Risk Factors—Risks Related to Our Relationship with Post—Post’s interests may conflict with our interests and the interests of our stockholders. Conflicts of interest or disputes between Post and our Company could be resolved in a manner unfavorable to our Company and our other stockholders” and “—Our amended and restated certificate of incorporation could prevent us from benefiting from corporate opportunities that might otherwise have been available to us.”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u w:val="single" w:color="auto"/>
          <w:color w:val="auto"/>
        </w:rPr>
        <w:t>Action by Written Consent; Special Meetings of Stockholders</w:t>
      </w:r>
      <w:r>
        <w:rPr>
          <w:rFonts w:ascii="Arial" w:cs="Arial" w:eastAsia="Arial" w:hAnsi="Arial"/>
          <w:sz w:val="18"/>
          <w:szCs w:val="18"/>
          <w:color w:val="auto"/>
        </w:rPr>
        <w:t>. Our amended and restated certificate of incorporation and our amended and restated bylaws will provide that, following the date on which Post and its various affiliates cease to own of record more than 50% of the BellRing Brands, LLC Units (the “triggering event”), stockholder action can be taken only at an annual or special meeting of stockholders and cannot be taken by written consent in lieu of a meeting. Prior to the triggering event, stockholder action may be taken by written consent in lieu of a meeting. Our amended and restated bylaws also will provide that, except as otherwise required by law, special meetings of the stockholders can only be called by the affirmative vote of a majority of the entire Board of Directors, the Chairperson of the Board of Directors, by the Secretary, on the written request of Post and its successors (but only for so long as Post and its subsidiaries own of record, in the aggregate, more than 50% of the BellRing Brands, LLC Units) or the President. Except as described above, stockholders will not be permitted to call a special meeting or to require our Board of Directors to call a special meeting.</w:t>
      </w:r>
    </w:p>
    <w:p>
      <w:pPr>
        <w:spacing w:after="0" w:line="197"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 Our amended and restated bylaws will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w:t>
      </w:r>
    </w:p>
    <w:p>
      <w:pPr>
        <w:ind w:left="200" w:right="20"/>
        <w:spacing w:after="0" w:line="285" w:lineRule="auto"/>
        <w:rPr>
          <w:sz w:val="20"/>
          <w:szCs w:val="20"/>
          <w:color w:val="auto"/>
        </w:rPr>
      </w:pPr>
      <w:r>
        <w:rPr>
          <w:rFonts w:ascii="Arial" w:cs="Arial" w:eastAsia="Arial" w:hAnsi="Arial"/>
          <w:sz w:val="16"/>
          <w:szCs w:val="16"/>
          <w:color w:val="auto"/>
        </w:rPr>
        <w:t>120 days prior to the date of the first anniversary of the prior year’s annual meeting (and for purposes of calculating this date with respect to the first annual meeting after the date of this offering, the annual meeting for the prior year shall be deemed to have been held on January 24, 2019);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except that such advance notice requirements shall not apply to Post with respect to business to be brought by Post before an annual meeting and, for so long as the investor rights agreement is in effect, such advance notice requirements shall not apply to Post with respect to any individual nominated or designated by Post for election or appointment to our Board of Directors. For stockholder proposals, the notice must include a description of the proposal, the reasons for the proposal and other specified matters. Our Board of Directors may reject any proposals that have not followed these procedures or that are not a proper subject for stockholder action in accordance with the provisions of applicable law. Although our amended and restated bylaws will not give our Board of Directors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6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u w:val="single" w:color="auto"/>
          <w:color w:val="auto"/>
        </w:rPr>
        <w:t>Directors, and Not Stockholders, Fix the Size of the Board of Directors</w:t>
      </w:r>
      <w:r>
        <w:rPr>
          <w:rFonts w:ascii="Arial" w:cs="Arial" w:eastAsia="Arial" w:hAnsi="Arial"/>
          <w:sz w:val="18"/>
          <w:szCs w:val="18"/>
          <w:color w:val="auto"/>
        </w:rPr>
        <w:t>. Our amended and restated certificate of incorporation and our amended and restated bylaws will provide that the number of our directors will be fixed from time to time exclusively pursuant to a resolution adopted by a majority of our Board of Directors, but in no event will it consist of less than five nor more than twelve directors. Upon consummation of this offering, our Board of Directors will consist of five members.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u w:val="single" w:color="auto"/>
          <w:color w:val="auto"/>
        </w:rPr>
        <w:t>Vacancies and Newly-Created Directorships on the Board of Directors</w:t>
      </w:r>
      <w:r>
        <w:rPr>
          <w:rFonts w:ascii="Arial" w:cs="Arial" w:eastAsia="Arial" w:hAnsi="Arial"/>
          <w:sz w:val="18"/>
          <w:szCs w:val="18"/>
          <w:color w:val="auto"/>
        </w:rPr>
        <w:t>. Subject to the rights of holders of any class or series of our capital stock outstanding, other than our common stock, and the rights of Post under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investor rights agreement (for so long as it remains in effect), any vacancy on our Board of Directors occurring for any reason prior to the expiration of the term of the director class in which the vacancy occurs (including vacancies which occur by reason of an increase in the number of directors) will be filled by (i) the affirmative vote of a majority of the remaining directors, even if less than a quorum, (ii) at a special meeting of the stockholders called for such purpose or (iii) prior to the triggering event, by written consent of one or more of our stockholders. A director elected to fill a vacancy will be elected for the unexpired term of his or her predecessor. These provisions could make it more difficult for stockholders to affect the composition of our Board of Directors.</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u w:val="single" w:color="auto"/>
          <w:color w:val="auto"/>
        </w:rPr>
        <w:t>Classified Board of Directors</w:t>
      </w:r>
      <w:r>
        <w:rPr>
          <w:rFonts w:ascii="Arial" w:cs="Arial" w:eastAsia="Arial" w:hAnsi="Arial"/>
          <w:sz w:val="17"/>
          <w:szCs w:val="17"/>
          <w:color w:val="auto"/>
        </w:rPr>
        <w:t>. Our amended and restated certificate of incorporation and our amended and restated bylaws will provide that our Board of Directors will be divided into three classes of directors serving staggered three-year terms. The number of directors assigned to each class will be as equal as reasonably possible. With respect to the members of the Board in office immediately after consummation of this offering, the first class of directors will hold office until the first annual stockholders’ meeting for election of directors, the second class of directors will hold office until the second annual stockholders’ meeting for election of directors, and the third class of directors will hold office until the third annual stockholders’ meeting for election of directors. Each class will thereafter hold office until the third annual stockholders’ meeting for election of directors following the most recent election of such class and until their successors are duly elected and qualified. With only a portion of the Board of Directors up for election each year, the existence of a classified Board of Directors could render more difficult or discourage an attempt to obtain control of our Company because it would take more than one annual meeting to do so.</w:t>
      </w:r>
    </w:p>
    <w:p>
      <w:pPr>
        <w:spacing w:after="0" w:line="182"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u w:val="single" w:color="auto"/>
          <w:color w:val="auto"/>
        </w:rPr>
        <w:t>Authorized but Unissued Shares</w:t>
      </w:r>
      <w:r>
        <w:rPr>
          <w:rFonts w:ascii="Arial" w:cs="Arial" w:eastAsia="Arial" w:hAnsi="Arial"/>
          <w:sz w:val="17"/>
          <w:szCs w:val="17"/>
          <w:color w:val="auto"/>
        </w:rPr>
        <w:t>. Our authorized but unissued shares of common stock and preferred stock will be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u w:val="single" w:color="auto"/>
          <w:color w:val="auto"/>
        </w:rPr>
        <w:t>Business Combinations with Interested Stockholders</w:t>
      </w:r>
      <w:r>
        <w:rPr>
          <w:rFonts w:ascii="Arial" w:cs="Arial" w:eastAsia="Arial" w:hAnsi="Arial"/>
          <w:sz w:val="17"/>
          <w:szCs w:val="17"/>
          <w:color w:val="auto"/>
        </w:rPr>
        <w:t>. We intend to elect in our amended and restated certificate of incorporation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Post and its various affiliates, successors and certain transferees designated by Post (including any such person who is granted a proxy by, or enters into a voting agreement with, Post pursuant to the amended and restated limited liability company agreement) will not be deemed to be “interested stockholders,” regardless of the percentage of our voting stock owned by them, and accordingly will not be subject to such restrictions.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will provide that our amended and restated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certificate of incorporation may be amended in accordance with and upon the vote prescribed by Delaware law, except that:</w:t>
      </w:r>
    </w:p>
    <w:p>
      <w:pPr>
        <w:spacing w:after="0" w:line="131" w:lineRule="exact"/>
        <w:rPr>
          <w:sz w:val="20"/>
          <w:szCs w:val="20"/>
          <w:color w:val="auto"/>
        </w:rPr>
      </w:pPr>
    </w:p>
    <w:p>
      <w:pPr>
        <w:jc w:val="both"/>
        <w:ind w:left="1180" w:right="80" w:hanging="544"/>
        <w:spacing w:after="0" w:line="31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holders of our Class A common stock and our Class B common stock will each be entitled to vote separately upon any amendment to our amended and restated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52" w:lineRule="exact"/>
        <w:rPr>
          <w:rFonts w:ascii="Arial" w:cs="Arial" w:eastAsia="Arial" w:hAnsi="Arial"/>
          <w:sz w:val="16"/>
          <w:szCs w:val="16"/>
          <w:color w:val="auto"/>
        </w:rPr>
      </w:pPr>
    </w:p>
    <w:p>
      <w:pPr>
        <w:ind w:left="1180" w:right="760" w:hanging="544"/>
        <w:spacing w:after="0" w:line="31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Section 10 of our amended and restated certificate of incorporation (relating to indemnification) may be amended (or a provision inconsistent with Section 10 adopted) only upon the affirmative vote of not less than 85% of all of the voting power of all of the outstanding shares of our common stock then entitled to vote in the election of directors, voting together as a single class.</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will provide that a majority of all of the members of our Board of Directors may amend, alter, change or repeal any provision of our amended and restated bylaws, except that our Board of Directors may not amend, alter, change or repeal any provision of the bylaws relating to their amendment in any manner that alters the stockholders’ power to amend, alter, change or repeal the bylaws. Our amended and restated certificate of incorporation and our amended and restated bylaws also will provide that the stockholders may amend, alter, change or repeal any provision of our amended and restated bylaws upon the affirmative vote of a majority of all of the voting power of the Company entitled to vote thereon, except that the stockholders will not have the power to amend, alter, change or repeal any provision of the bylaws relating to their amendment in any manner that alters our Board of Directors’ power to amend, alter, change or repeal the bylaws.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29" w:lineRule="exact"/>
        <w:rPr>
          <w:sz w:val="20"/>
          <w:szCs w:val="20"/>
          <w:color w:val="auto"/>
        </w:rPr>
      </w:pPr>
    </w:p>
    <w:p>
      <w:pPr>
        <w:ind w:left="1180" w:hanging="544"/>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16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amended and restated certificate of incorporation will limit the liability of our directors to the fullest extent permitted by the Delaware General Corporation Law and provide that we will provide them with customary indemnification. We expect to enter into customary indemnification agreements with each of our directors and certain of our executive officers that provide them, in general, with customary indemnification in connection with their service to us or on our behalf.</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Class A common stock is currently not listed on any securities exchange. We have received approval to have our Class A common stock listed on the NYSE under the symbol “BRBR”.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Upon completion of this offering, the transfer agent and registrar for our Class A common stock will be Computershare Trust Company, N.A.</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 the public market could adversely affect prevailing market prices for shares of our Class A common stock. Furthermore, since not all of the shares of our Class A common stock outstanding will be available for sale immediately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58" w:lineRule="exact"/>
        <w:rPr>
          <w:sz w:val="20"/>
          <w:szCs w:val="20"/>
          <w:color w:val="auto"/>
        </w:rPr>
      </w:pPr>
    </w:p>
    <w:p>
      <w:pPr>
        <w:jc w:val="both"/>
        <w:ind w:left="200" w:right="460" w:firstLine="441"/>
        <w:spacing w:after="0" w:line="312" w:lineRule="auto"/>
        <w:rPr>
          <w:sz w:val="20"/>
          <w:szCs w:val="20"/>
          <w:color w:val="auto"/>
        </w:rPr>
      </w:pPr>
      <w:r>
        <w:rPr>
          <w:rFonts w:ascii="Arial" w:cs="Arial" w:eastAsia="Arial" w:hAnsi="Arial"/>
          <w:sz w:val="16"/>
          <w:szCs w:val="16"/>
          <w:color w:val="auto"/>
        </w:rPr>
        <w:t>All of the 34,285,714 shares of Class A common stock (or 39,428,571 shares if the underwriters exercise their over-allotment option in full) outstanding following this offering will have been issued in this offering and will be freely transferable without restriction or registration under the Securities Act, except for any shares purchased by one of our existing “affiliates,” as that term is defined in Rule 144 under the Securities Act.</w:t>
      </w:r>
    </w:p>
    <w:p>
      <w:pPr>
        <w:spacing w:after="0" w:line="14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Immediately following the consummation of the formation transactions and this offering, the members of BellRing Brands, LLC will consist of BellRing Brands, Inc. and Post. Post will hold 97,474,180 BellRing Brands, LLC Units equal to 74.0% of the economic interest in BellRing Brands, LLC (or 71.2%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Pursuant to the terms of the amended and restated limited liability company agreement, the holders of BellRing Brands, LLC Units (other than us) may from time to time redeem their BellRing Brands, LLC Units for, at the option of BellRing Brands, LLC (as determined by its Board of Managers), (i) shares of our Class A common stock on a one-for-one equivalent basis or (ii) cash (based on the market price of the shares of our Class A common stock), subject to customary redemption rate adjustments for stock splits, stock dividends and reclassifications. The share of BellRing Brands, Inc. Class B common stock will be initially owned by Post and may only be transferred to affiliates of Post (other than us). The 97,474,180 shares of our Class A common stock issuable upon redemption of BellRing Brands, LLC Units held by Post would be considered “restricted securities,” as that term is defined in Rule 144 at the time of this offering.</w:t>
      </w:r>
    </w:p>
    <w:p>
      <w:pPr>
        <w:spacing w:after="0" w:line="18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Post and certain of our executive officers and directors have entered into lock-up agreements under which they have agreed not to sell or otherwise transfer shares of our Class A common stock or BellRing Brands, LLC Units or securities, convertible into or exchangeable for shares of our Class A stock as applicable, for a period of 180 days after the date of this prospectus. These lock-up restrictions may be extended in specified circumstances and are subject to certain exceptions. For more information, see “Underwriting (Conflicts of Interest).” As a result of these contractual restrictions, shares of our Class A common stock and the other securities subject to lock-up agreements will not be eligible for sale until these agreements expire or the restrictions are waived by the underwriters. When determining whether or not to release our Class A common stock and other securities from lock-up agreements, Morgan Stanley &amp; Co. LLC, Citigroup Global Markets Inc., J.P. Morgan Securities LLC and Goldman Sachs &amp; Co. LLC will consider, among other factors, the holder’s reasons for requesting the release, the number of shares for which the release is being requested and market conditions at the time of the request. In the event of such release or waiver for one of our directors or officers, Morgan Stanley &amp; Co. LLC, Citigroup Global Markets Inc., J.P. Morgan Securities LLC and Goldman Sachs &amp; Co. LLC shall provide us with notice of the impending release or waiver at least three business days before the effective date of such release or waiver and we will announce the impending release or waiver by issuing a press release through a major news service at least two business days before the effective date of the release or waiver.</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addition, we have agreed with the underwriters not to sell any shares of our Class A common stock or securities convertible into or exchangeable for shares of our Class A common stock for a period of 180 days after the date of this prospectus, subject to certain exceptions, including for sales in connection with this offering or with the grant or exercise of stock based equity awards. The underwriters may, at any time, waive these restrictions.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under Rule 144 as in effect on the date of this prospectus, once we have been subject to public company reporting requirements for at least ninety days, a person who has beneficially owned shares proposed to be sold for at least six months, including the holding period of any prior owner other than an affiliate of us, and who is not deemed to have been one of our affiliates for purposes of the Securities Act at any time during the ninety days preceding a sale, will be entitled to sell, upon expiration of the lock-up agreements described above, such shares without complying with the manner of sale, volume limitation or notice provisions of Rule 144, subject to compliance with the public information requirements of Rule 144. Such a non-affiliated person who has beneficially owned the shares proposed to be sold for at least one year, including the holding period of any prior owner other than an affiliate of us, will be entitled to sell these shares without limitation.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general, under Rule 144, our affiliates or persons selling shares on behalf of our affiliates will be entitled to sell upon expiration of the 180-day lock-up period described above, within any three-month period, a number of shares that does not exceed the greater of:</w:t>
      </w:r>
    </w:p>
    <w:p>
      <w:pPr>
        <w:spacing w:after="0" w:line="76" w:lineRule="exact"/>
        <w:rPr>
          <w:sz w:val="20"/>
          <w:szCs w:val="20"/>
          <w:color w:val="auto"/>
        </w:rPr>
      </w:pPr>
    </w:p>
    <w:p>
      <w:pPr>
        <w:ind w:left="1180" w:right="200" w:hanging="544"/>
        <w:spacing w:after="0" w:line="264"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342,857 shares immediately after this offering (assuming the underwriters do not elect to exercise their over-allotment option to purchase additional shares of our Class A common stock); or</w:t>
      </w:r>
    </w:p>
    <w:p>
      <w:pPr>
        <w:spacing w:after="0" w:line="86"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NYSE during the four calendar weeks before a notice of the sale is filed on Form 144 with respect to such sale.</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Sales by our affiliates or persons selling shares on behalf of our affiliates under Rule 144 also are subject to manner of sale and notice provisions and to the availability of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intend to file with the SEC a registration statement on Form S-8 covering the shares of our Class A common stock reserved for issuance under the 2019 LTIP. That registration statement is expected to be filed and become effective as soon as practicable after the closing of this offering. Upon effectiveness, the shares of our Class A common stock that will be covered by that registration statement and issued pursuant to the terms of the 2019 LTIP will be eligible for sale by the recipient in the public market, subject to the lock-up agreements and Rule 144 restrictions described above.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the date this offering is completed, we will enter into an investor rights agreement with Post pursuant to which, among other things, we will grant Post and its affiliates certain registration rights with respect to our Class A common stock owned by Post and its affiliates. For more information, see “Certain Relationships and Related Party Transactions—Post-Offering Relationship with Post—Investor Rights Agreement.” Pursuant to the lock-up arrangements described above, Post and its affiliates will agree not to exercise those rights during the lock-up period without the prior written consent of the underwriters.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Pre-Offering Relationship with Post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currently operate as Post’s Active Nutrition business. As a result, in the ordinary course of our business, Post has provided us with various services, including finance, information technology, legal, human resources, quality, supply chain and purchasing functions. Our combined statement of operations and comprehensive income includes allocations of general and administrative costs, including stock-based compensation expense, related to these functions. For more information regarding these allocations, see Note 8 of “Notes to Condensed Combined Financial Statements” for the nine months ended June 30, 2019 and 2018 and Note 10 of “Notes to Combined Financial Statements” for the three fiscal years ended September 30, 2018 included in this prospectus.</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also will enter into certain agreements with Post in connection with this offering and relating to our relationship with Post after this offering, which are described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Post-Offering Relationship with Post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enter into the following agreements with Post relating to this offering and our relationship with Post after this offering:</w:t>
      </w:r>
    </w:p>
    <w:p>
      <w:pPr>
        <w:spacing w:after="0" w:line="131" w:lineRule="exact"/>
        <w:rPr>
          <w:sz w:val="20"/>
          <w:szCs w:val="20"/>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master transaction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employee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tax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tax receivable agreement;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master services agreement.</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material terms to be included in each of these agreements are summarized below. The summary of each such agreement is qualified by reference in its entirety to the full text of the applicable agreement, each of which are or will be filed as an exhibit to the registration statement of which this prospectus is a part.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Prior to the completion of this offering, BellRing Brands, Inc. and BellRing Brands, LLC entered into the master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agreement with Post which sets forth the agreements among BellRing Brands, Inc., BellRing Brands, LLC and its subsidiaries, and Post and its subsidiaries (other than us), regarding the principal transactions required to effect the formation transactions and this offering, and governs the relationship between Post and us after this offering. For a description of the formation transactions, see “Prospectus Summary—Formation Transactions.”</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 xml:space="preserve">Formation Transactions and Allocation of Assets and Liabilities. </w:t>
      </w:r>
      <w:r>
        <w:rPr>
          <w:rFonts w:ascii="Arial" w:cs="Arial" w:eastAsia="Arial" w:hAnsi="Arial"/>
          <w:sz w:val="17"/>
          <w:szCs w:val="17"/>
          <w:color w:val="auto"/>
        </w:rPr>
        <w:t>The master transaction agreement details the steps and related timing for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formation transactions. The master transaction agreement also identifies assets to be transferred, liabilities to be assumed and contracts to be assigned to each of BellRing Brands, LLC and Post as part of the separation of the Active Nutrition business from Post.</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master transaction agreement provides, among other things, that, subject to certain exceptions and the terms and conditions contained therein, on the date this offering is completed:</w:t>
      </w:r>
    </w:p>
    <w:p>
      <w:pPr>
        <w:spacing w:after="0" w:line="76" w:lineRule="exact"/>
        <w:rPr>
          <w:sz w:val="20"/>
          <w:szCs w:val="20"/>
          <w:color w:val="auto"/>
        </w:rPr>
      </w:pPr>
    </w:p>
    <w:p>
      <w:pPr>
        <w:ind w:left="1180" w:right="140" w:hanging="544"/>
        <w:spacing w:after="0" w:line="312" w:lineRule="auto"/>
        <w:tabs>
          <w:tab w:leader="none" w:pos="11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assets exclusively related to the business and operations of Post’s Active Nutrition business as well as certain other assets mutually agreed upon by Post and BellRing Brands, LLC, which we collectively refer to as the “BellRing Brands, LLC Assets,” will, to the extent not already held by BellRing Brands, LLC or one of its subsidiaries, be transferred to BellRing Brands, LLC or one of its subsidiaries;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60"/>
          </w:cols>
          <w:pgMar w:left="24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544"/>
        <w:spacing w:after="0" w:line="259"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liabilities (including whether accrued, contingent or otherwise) arising out of or resulting from the BellRing Brands, LLC Assets, and other liabilities related to the businesses and operations of Post’s Active Nutrition business, as well as certain other liabilities mutually agreed upon by Post and BellRing Brands, LLC, which we collectively refer to as the “BellRing Brands, LLC Liabilities,” will be retained by or transferred to BellRing Brands, LLC or one of its subsidiaries; and</w:t>
      </w:r>
    </w:p>
    <w:p>
      <w:pPr>
        <w:spacing w:after="0" w:line="92" w:lineRule="exact"/>
        <w:rPr>
          <w:rFonts w:ascii="Arial" w:cs="Arial" w:eastAsia="Arial" w:hAnsi="Arial"/>
          <w:sz w:val="18"/>
          <w:szCs w:val="18"/>
          <w:color w:val="auto"/>
        </w:rPr>
      </w:pPr>
    </w:p>
    <w:p>
      <w:pPr>
        <w:ind w:left="1180" w:right="240" w:hanging="544"/>
        <w:spacing w:after="0" w:line="273" w:lineRule="auto"/>
        <w:tabs>
          <w:tab w:leader="none" w:pos="1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other assets and liabilities (including whether accrued, contingent or otherwise) other than the independent liabilities of BellRing Brands, Inc. which are not otherwise included in the BellRing Brands, LLC Liabilities (such liabilities are referred to as the “BellRing Brands, Inc. Liabilities”), the BellRing Brands, LLC Assets and the BellRing Brands, LLC Liabilities (such assets and liabilities, other than the BellRing Brands, Inc. Liabilities, the BellRing Brands, LLC Assets and the BellRing Brands, LLC Liabilities, are referred to as the “Post Assets” and the “Post Liabilities,” respectively) will be retained by or transferred to Post or one of its subsidiaries (other than BellRing Brands, Inc. and BellRing Brands, LLC and its subsidiaries).</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Except as may expressly be set forth in the master transaction agreement or any other ancillary agreements, all assets will be transferred on an “as is,” “where is” basis, and the respective transferees will bear the economic and legal risks that (1) any conveyance will prove to be insufficient to vest in the transferee good title, free and clear of any security interest, and (2) any necessary consents or governmental approvals may not be obtained or any requirements of laws or judgments may not be complied with.</w:t>
      </w:r>
    </w:p>
    <w:p>
      <w:pPr>
        <w:spacing w:after="0" w:line="187"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The master transaction agreement provides that, in general, Post and BellRing Brands, LLC will assume liability for all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The master transaction agreement provides that, to the extent that any transfers or assignments contemplated by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have not been consummated immediately after this offering, the parties will agree to cooperate to effect such transfers as promptly as practicable following this offering. In addition, pursuant to the master transaction agreement, each of the parties will agree to cooperate with the other parties and use reasonable best efforts to take or to cause to be taken all actions, and to do, or to cause to be done, all things reasonably necessary under applicable law or contractual obligations to consummate and make effective the transactions contemplated by the master transaction agreement and the other ancillary agreements.</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Pursuant to the master transaction agreement, we will cooperate with Post to accomplish this offering and will, at Post’s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promptly take any and all actions necessary or desirable to effect this offering.</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Releases. </w:t>
      </w:r>
      <w:r>
        <w:rPr>
          <w:rFonts w:ascii="Arial" w:cs="Arial" w:eastAsia="Arial" w:hAnsi="Arial"/>
          <w:sz w:val="17"/>
          <w:szCs w:val="17"/>
          <w:color w:val="auto"/>
        </w:rPr>
        <w:t>The master transaction agreement provides that, except as otherwise provided in the master transaction agreement or any other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each of BellRing Brands, Inc. and BellRing Brands, LLC, on the one hand, and Post, on the other hand, will release and forever discharge the other party(ies) and their respective subsidiaries and affiliates from all liabilities existing or arising from any acts or events occurring or failing to occur or alleged to have occurred or to have failed to occur or any conditions existing or alleged to have existed on or before the consummation of this offering. The releases will not extend to obligations or liabilities under any agreements between the parties that remain in effect following the separation, which agreements include, but are not limited to, the master transaction agreement and the ancillary agreements.</w:t>
      </w:r>
    </w:p>
    <w:p>
      <w:pPr>
        <w:spacing w:after="0" w:line="178"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i w:val="1"/>
          <w:iCs w:val="1"/>
          <w:color w:val="auto"/>
        </w:rPr>
        <w:t xml:space="preserve">Financial Reporting Covenants; Auditors and Audits; Annual Financial Statements and Accounting. </w:t>
      </w:r>
      <w:r>
        <w:rPr>
          <w:rFonts w:ascii="Arial" w:cs="Arial" w:eastAsia="Arial" w:hAnsi="Arial"/>
          <w:sz w:val="16"/>
          <w:szCs w:val="16"/>
          <w:color w:val="auto"/>
        </w:rPr>
        <w:t>Under the master transaction agreement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BellRing Brands, Inc. and BellRing Brands, LLC agreed that, until such time as Post is no longer required to include, for any fiscal year presented in any Form 10-K of Post, the consolidated results of operations and financial position of BellRing Brands, Inc. or any of its subsidiaries or to</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account for its investment in BellRing Brands, Inc. or any of its subsidiaries under the equity method of accounting, among other things (all references to “BellRing Brands, Inc. and its subsidiaries” include BellRing Brands, LLC and its subsidiaries, as applicable):</w:t>
      </w:r>
    </w:p>
    <w:p>
      <w:pPr>
        <w:spacing w:after="0" w:line="76" w:lineRule="exact"/>
        <w:rPr>
          <w:sz w:val="20"/>
          <w:szCs w:val="20"/>
          <w:color w:val="auto"/>
        </w:rPr>
      </w:pPr>
    </w:p>
    <w:p>
      <w:pPr>
        <w:ind w:left="1180" w:hanging="544"/>
        <w:spacing w:after="0" w:line="255"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disclosure controls and procedures and internal control over financial reporting that will provide reasonable assurance that, among other things, (1) its annual and quarterly financial statements are reliable and timely prepared in accordance with GAAP and applicable law, (2) its transactions are recorded as necessary to permit the preparation of its financial statements, (3) receipts and expenditures are authorized at the appropriate level within BellRing Brands, Inc. and its subsidiaries, as applicable and (4) unauthorized uses and dispositions of assets that could have a material effect on its financial statements are prevented or detected in a timely manner;</w:t>
      </w:r>
    </w:p>
    <w:p>
      <w:pPr>
        <w:spacing w:after="0" w:line="98" w:lineRule="exact"/>
        <w:rPr>
          <w:rFonts w:ascii="Arial" w:cs="Arial" w:eastAsia="Arial" w:hAnsi="Arial"/>
          <w:sz w:val="18"/>
          <w:szCs w:val="18"/>
          <w:color w:val="auto"/>
        </w:rPr>
      </w:pPr>
    </w:p>
    <w:p>
      <w:pPr>
        <w:ind w:left="1180" w:hanging="544"/>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the same fiscal year as Post;</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BellRing Brands, Inc. and/or BellRing Brands, LLC will establish a disclosure committee that will review BellRing Brands, Inc.’s Forms 10-K, 10-Q and other significant filings with the SEC, and permit employees selected by Post to attend such committee’s meetings;</w:t>
      </w:r>
    </w:p>
    <w:p>
      <w:pPr>
        <w:spacing w:after="0" w:line="29" w:lineRule="exact"/>
        <w:rPr>
          <w:rFonts w:ascii="Arial" w:cs="Arial" w:eastAsia="Arial" w:hAnsi="Arial"/>
          <w:sz w:val="16"/>
          <w:szCs w:val="16"/>
          <w:color w:val="auto"/>
        </w:rPr>
      </w:pPr>
    </w:p>
    <w:p>
      <w:pPr>
        <w:jc w:val="both"/>
        <w:ind w:left="1180" w:right="60" w:hanging="544"/>
        <w:spacing w:after="0" w:line="279" w:lineRule="auto"/>
        <w:tabs>
          <w:tab w:leader="none" w:pos="1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BellRing Brands, Inc. will coordinate with Post regarding the timing and content of BellRing Brands, Inc.’s earnings releases and financial guidance, and BellRing Brands, Inc. and its subsidiaries will cooperate fully (and cause their independent auditors to cooperate fully) with Post in connection with any of Post’s SEC, NYSE (or such other national security exchange on which the Class A common stock is listed) and other public filings, press releases and public and private offering documents;</w:t>
      </w:r>
    </w:p>
    <w:p>
      <w:pPr>
        <w:spacing w:after="0" w:line="76" w:lineRule="exact"/>
        <w:rPr>
          <w:rFonts w:ascii="Arial" w:cs="Arial" w:eastAsia="Arial" w:hAnsi="Arial"/>
          <w:sz w:val="17"/>
          <w:szCs w:val="17"/>
          <w:color w:val="auto"/>
        </w:rPr>
      </w:pPr>
    </w:p>
    <w:p>
      <w:pPr>
        <w:ind w:left="1180" w:hanging="544"/>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not change their independent auditors without Post’s prior written consent;</w:t>
      </w:r>
    </w:p>
    <w:p>
      <w:pPr>
        <w:spacing w:after="0" w:line="130" w:lineRule="exact"/>
        <w:rPr>
          <w:rFonts w:ascii="Arial" w:cs="Arial" w:eastAsia="Arial" w:hAnsi="Arial"/>
          <w:sz w:val="18"/>
          <w:szCs w:val="18"/>
          <w:color w:val="auto"/>
        </w:rPr>
      </w:pPr>
    </w:p>
    <w:p>
      <w:pPr>
        <w:jc w:val="both"/>
        <w:ind w:left="1180" w:right="40" w:hanging="544"/>
        <w:spacing w:after="0" w:line="34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BellRing Brands, Inc. and its subsidiaries will use their reasonable best efforts to enable their independent auditors to complete their audits of BellRing Brands, Inc.’s and its subsidiaries’ financial statements in a timely manner so as to permit timely filing of Post’s public filings;</w:t>
      </w:r>
    </w:p>
    <w:p>
      <w:pPr>
        <w:spacing w:after="0" w:line="29" w:lineRule="exact"/>
        <w:rPr>
          <w:rFonts w:ascii="Arial" w:cs="Arial" w:eastAsia="Arial" w:hAnsi="Arial"/>
          <w:sz w:val="16"/>
          <w:szCs w:val="16"/>
          <w:color w:val="auto"/>
        </w:rPr>
      </w:pPr>
    </w:p>
    <w:p>
      <w:pPr>
        <w:ind w:left="1180" w:right="120" w:hanging="544"/>
        <w:spacing w:after="0" w:line="30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BellRing Brands, Inc. and its subsidiaries will provide to Post and its independent auditors all information required for Post to meet its schedule for the filing and distribution of its financial statements and to make available to Post and its independent auditors all documents necessary for the annual audit of BellRing Brands, Inc. and its subsidiaries as well as access to the responsible company personnel so that Post and its independent auditors may conduct their audits relating to BellRing Brands, Inc.’s and its subsidiaries’ financial statements;</w:t>
      </w:r>
    </w:p>
    <w:p>
      <w:pPr>
        <w:spacing w:after="0" w:line="59" w:lineRule="exact"/>
        <w:rPr>
          <w:rFonts w:ascii="Arial" w:cs="Arial" w:eastAsia="Arial" w:hAnsi="Arial"/>
          <w:sz w:val="16"/>
          <w:szCs w:val="16"/>
          <w:color w:val="auto"/>
        </w:rPr>
      </w:pPr>
    </w:p>
    <w:p>
      <w:pPr>
        <w:ind w:left="1180" w:right="280" w:hanging="544"/>
        <w:spacing w:after="0" w:line="264"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adhere to certain specified Post accounting policies and notify and consult with Post regarding any changes to accounting principles and estimates used in the preparation of financial statements, and any deficiencies in, or violations of law in connection with, internal control over financial reporting;</w:t>
      </w:r>
    </w:p>
    <w:p>
      <w:pPr>
        <w:spacing w:after="0" w:line="86" w:lineRule="exact"/>
        <w:rPr>
          <w:rFonts w:ascii="Arial" w:cs="Arial" w:eastAsia="Arial" w:hAnsi="Arial"/>
          <w:sz w:val="18"/>
          <w:szCs w:val="18"/>
          <w:color w:val="auto"/>
        </w:rPr>
      </w:pPr>
    </w:p>
    <w:p>
      <w:pPr>
        <w:ind w:left="1180" w:right="100" w:hanging="544"/>
        <w:spacing w:after="0" w:line="259"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at the times and in the manner set forth in the master transaction agreement, deliver to Post consolidated financial statements and other financial information, quarterly business process reviews, annual budgets and financial projections, and other information reasonably requested by Post, and make their personnel and the personnel of their independent auditors available to Post; and</w:t>
      </w:r>
    </w:p>
    <w:p>
      <w:pPr>
        <w:spacing w:after="0" w:line="92" w:lineRule="exact"/>
        <w:rPr>
          <w:rFonts w:ascii="Arial" w:cs="Arial" w:eastAsia="Arial" w:hAnsi="Arial"/>
          <w:sz w:val="18"/>
          <w:szCs w:val="18"/>
          <w:color w:val="auto"/>
        </w:rPr>
      </w:pPr>
    </w:p>
    <w:p>
      <w:pPr>
        <w:ind w:left="1180" w:right="20" w:hanging="544"/>
        <w:spacing w:after="0" w:line="25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BellRing Brands, Inc. and its subsidiaries will promptly report in reasonable detail to Post the following events or circumstances that they become aware of: (1) significant deficiencies and material weaknesses which are reasonably likely to adversely affect any of their ability to report financial information; (2) any fraud that involves management or other employees who have a significant role in their internal control over financial reporting; (3) illegal acts; and (4) any report of a material violation of law made pursuant to the SEC’s attorney conduct rules.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The master transaction agreement provides for cross-indemnities principally designed to place financial responsibility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liabilities of our business with us and financial responsibility for the obligations and liabilities of Post’s business with Post. Specifically, BellRing Brands, LLC and Post will indemnify, defend and hold harmless the other party and its affiliates and subsidiaries and their respective officers, directors, employees and agents (collectively, the “indemnified parties”) for any losses arising out of or otherwise in connection with:</w:t>
      </w:r>
    </w:p>
    <w:p>
      <w:pPr>
        <w:spacing w:after="0" w:line="60" w:lineRule="exact"/>
        <w:rPr>
          <w:sz w:val="20"/>
          <w:szCs w:val="20"/>
          <w:color w:val="auto"/>
        </w:rPr>
      </w:pPr>
    </w:p>
    <w:p>
      <w:pPr>
        <w:ind w:left="1180" w:right="60" w:hanging="544"/>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liabilities that each such party assumed or retained pursuant to the master transaction agreement (which, in the case of BellRing Brands, LLC, would include the BellRing Brands, Inc. Liabilities and the BellRing Brands, LLC Liabilities and, in the case of Post, would include the Post Liabilities) and the other ancillary agreements;</w:t>
      </w:r>
    </w:p>
    <w:p>
      <w:pPr>
        <w:spacing w:after="0" w:line="86"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failure of BellRing Brands, Inc., BellRing Brands, LLC or Post to pay, perform or otherwise promptly discharge any of the BellRing Brands, Inc. Liabilities, the BellRing Brands, LLC Liabilities or the Post Liabilities, respectively, in accordance with their terms, whether prior to, at or after the consummation of this offering;</w:t>
      </w:r>
    </w:p>
    <w:p>
      <w:pPr>
        <w:spacing w:after="0" w:line="86"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breach by such party (which, in the case of BellRing Brands, LLC, would include a breach by BellRing Brands, Inc.) of the master transaction agreement or the other ancillary agreements; and</w:t>
      </w:r>
    </w:p>
    <w:p>
      <w:pPr>
        <w:spacing w:after="0" w:line="75" w:lineRule="exact"/>
        <w:rPr>
          <w:rFonts w:ascii="Arial" w:cs="Arial" w:eastAsia="Arial" w:hAnsi="Arial"/>
          <w:sz w:val="18"/>
          <w:szCs w:val="18"/>
          <w:color w:val="auto"/>
        </w:rPr>
      </w:pPr>
    </w:p>
    <w:p>
      <w:pPr>
        <w:ind w:left="1180" w:right="280" w:hanging="544"/>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to the extent relating to a BellRing Brands, LLC Liability, in the case of Post, or a Post Liability, in the case of BellRing Brands, LLC, any guarantee, indemnification or contribution obligation, surety bond or other credit support agreement or arrangement for the benefit of Post or BellRing Brands, LLC, respectively.</w:t>
      </w:r>
    </w:p>
    <w:p>
      <w:pPr>
        <w:spacing w:after="0" w:line="18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Pursuant to the master transaction agreement, BellRing Brands, LLC also will indemnify, defend and hold harmless the Post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w:t>
      </w:r>
    </w:p>
    <w:p>
      <w:pPr>
        <w:ind w:left="200" w:firstLine="4"/>
        <w:spacing w:after="0" w:line="268" w:lineRule="auto"/>
        <w:tabs>
          <w:tab w:leader="none" w:pos="4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contained in the registration statement of which this prospectus is a part or any prospectus (other than information provided by Post to us specifically for inclusion in the registration statement of which this prospectus is a part, or any prospectus), (2) contained in any public filings made by BellRing Brands, Inc. with the SEC following this offering or (3) provided by us to Post specifically for inclusion in Post’s annual, quarterly or current reports or proxy statements following this offering to the extent (A) such information pertains to us or our business and (B) Post has provided prior written notice to us that such information will be included in one or more annual, quarterly or current reports or proxy statements, specifying how such information will be presented, and the information is included in such annual, quarterly or current reports or proxy statements (except, in the case of this clause (B), for liabilities arising out of or resulting from, or in connection with, any action or inaction of Post or any of its subsidiaries (other than us), including as a result of any misstatement or omission of any information by Post to us).</w:t>
      </w:r>
    </w:p>
    <w:p>
      <w:pPr>
        <w:spacing w:after="0" w:line="18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Pursuant to the master transaction agreement, Post also will indemnify, defend and hold harmless our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 (1) contained in the registration statement of which this prospectus is a part or any prospectus provided by Post specifically for inclusion therein to the extent such information pertains to (A) Post or (B) Post’s business (for the avoidance of doubt, other than our business) and (2) provided by Post to us specifically for inclusion in BellRing Brands, Inc.’s annual, quarterly or current reports or proxy statements following this offering to the extent (A) such information pertains to (x) Post or (y) Post’s business (for the avoidance of doubt, other than our business) or (B) BellRing Brands, Inc. has provided written notice to Post that such information will be included in one or more of its annual, quarterly or current reports or proxy statements, specifying how such information will be presented, and the information is included in such annual, quarterly or current reports or proxy statements (except, in the case of this clause (B), for liabilities arising out of or resulting from, or in connection with, any action or inaction of us, including as a result of any misstatement or omission of any information by us to Post).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master transaction agreement also will specify procedures with respect to claims subject to indemnification and related matters.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Under the master transaction agreement, we will pay all costs, fees and expenses incurred in connection with this offering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formation transactions (other than costs, fees and expenses relating to the Post bridge loan as described below), or, upon the request of Post, will reimburse Post or its subsidiaries (other than us) with respect to any such costs, fees and expenses previously paid by Post or its subsidiaries (other than us). BellRing Brands, LLC will, and will cause its subsidiaries to, pay all principal and interest under the Post bridge loan; provided, however, that costs, fees and expenses incurred prior to this offering in connection with obtaining the Post bridge loan will be borne solely by Post and its subsidiaries (other than us).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Following the completion of this offering, BellRing Brands, LLC will, and will cause its subsidiaries to, pay to Post an amount equal to the value of all cash and cash equivalents, in each case determined in accordance with GAAP, held by BellRing Brands, LLC and its subsidiaries as of immediately prior to the consummation of this offering.</w:t>
      </w:r>
    </w:p>
    <w:p>
      <w:pPr>
        <w:spacing w:after="0" w:line="181"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The master transaction agreement also governs other matters related to the consummation of this offering, the provision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of records, access to information, confidentiality, cooperation with respect to governmental filings and third party consents and insurance.</w:t>
      </w:r>
    </w:p>
    <w:p>
      <w:pPr>
        <w:spacing w:after="0" w:line="124"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master transaction agreement may be terminated at any time prior to the completion of this offering by Post.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may be terminated at any time after the completion of this offering only with the mutual consent of each of Post, BellRing Brands, Inc. and BellRing Brands, LLC.</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As part of the formation transactions and this offering, BellRing Brands, Inc. and BellRing Brands, LLC will 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the employee matters agreement with Post. The employee matters agreement will cover a wide range of compensation and benefit matters, including the following:</w:t>
      </w:r>
    </w:p>
    <w:p>
      <w:pPr>
        <w:spacing w:after="0" w:line="87" w:lineRule="exact"/>
        <w:rPr>
          <w:sz w:val="20"/>
          <w:szCs w:val="20"/>
          <w:color w:val="auto"/>
        </w:rPr>
      </w:pPr>
    </w:p>
    <w:p>
      <w:pPr>
        <w:ind w:left="1180" w:right="180" w:hanging="544"/>
        <w:spacing w:after="0" w:line="259"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will continue participating in certain Post employee benefit plans and programs, with such participation to cease December 31, 2019 unless otherwise determined by Post. Effective January 1, 2020, we will establish and adopt certain replacement employee benefit plans, including our own 401(k) plan, and permit and facilitate the participation in such plans by our eligible employees (and their eligible dependents and beneficiaries);</w:t>
      </w:r>
    </w:p>
    <w:p>
      <w:pPr>
        <w:spacing w:after="0" w:line="92" w:lineRule="exact"/>
        <w:rPr>
          <w:rFonts w:ascii="Arial" w:cs="Arial" w:eastAsia="Arial" w:hAnsi="Arial"/>
          <w:sz w:val="18"/>
          <w:szCs w:val="18"/>
          <w:color w:val="auto"/>
        </w:rPr>
      </w:pPr>
    </w:p>
    <w:p>
      <w:pPr>
        <w:ind w:left="1180" w:right="40" w:hanging="544"/>
        <w:spacing w:after="0" w:line="297" w:lineRule="auto"/>
        <w:tabs>
          <w:tab w:leader="none" w:pos="1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BellRing Brands, LLC will be responsible for any liabilities associated with the participation by our employees, former employees and their dependents and beneficiaries in the Post Holdings, Inc. Health and Welfare Benefit Plan prior to terminating their participation in such plan, and should we or any of our subsidiaries adopt a nonqualified deferred compensation plan, we, or the applicable subsidiary, will assume all liabilities associated with payment of account balances attributable to our employees or former employees under the Post Holdings, Inc. Deferred Compensation Plan for Key Employees and the Post Holdings, Inc. Executive Savings Investment Plan;</w:t>
      </w:r>
    </w:p>
    <w:p>
      <w:pPr>
        <w:spacing w:after="0" w:line="63" w:lineRule="exact"/>
        <w:rPr>
          <w:rFonts w:ascii="Arial" w:cs="Arial" w:eastAsia="Arial" w:hAnsi="Arial"/>
          <w:sz w:val="16"/>
          <w:szCs w:val="16"/>
          <w:color w:val="auto"/>
        </w:rPr>
      </w:pPr>
    </w:p>
    <w:p>
      <w:pPr>
        <w:ind w:left="1180" w:right="40" w:hanging="544"/>
        <w:spacing w:after="0" w:line="255"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otherwise provided in the employee matters agreement, BellRing Brands, LLC will, or will cause its subsidiaries, to assume or retain, to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our former employees and their dependents and beneficiaries; provided, that if any employee or former employee to which any such liability relates is or was an employee exclusively of BellRing Brands, Inc. at the time such liability arose, BellRing Brands, Inc. will pay, perform, fulfill and discharge such liability in due course and in full; and</w:t>
      </w:r>
    </w:p>
    <w:p>
      <w:pPr>
        <w:spacing w:after="0" w:line="94" w:lineRule="exact"/>
        <w:rPr>
          <w:rFonts w:ascii="Arial" w:cs="Arial" w:eastAsia="Arial" w:hAnsi="Arial"/>
          <w:sz w:val="18"/>
          <w:szCs w:val="18"/>
          <w:color w:val="auto"/>
        </w:rPr>
      </w:pPr>
    </w:p>
    <w:p>
      <w:pPr>
        <w:ind w:left="1180" w:right="20" w:hanging="544"/>
        <w:spacing w:after="0" w:line="308" w:lineRule="auto"/>
        <w:tabs>
          <w:tab w:leader="none" w:pos="11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we will establish a non-qualified deferred compensation plan for eligible members of the BellRing Brands, Inc. board of directors effective January 1, 2020, and permit and facilitate the participation in such plan by eligible directors of BellRing Brands, Inc.</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Additionally, under the employee matters agreement, we will use commercially reasonable efforts to maintain effective registration statements with the SEC with respect to the 2019 LTIP or any successor plan, and any equity awards issued thereunder. Restricted stock unit awards and nonqualified stock option awards issued to employees of BellRing Brands, LLC or its subsidiaries (or their predecessors) under certain Post long-term incentive plans which remain unsettled or outstanding as of the date of this offering, and any such awards issued to our employees after the date of this offering, will (i) vest or continue to vest and be settled or forfeited according to their terms, or (ii) later, if legally permissible as determined by Post and the Post board of directors or its corporate governance and compensation committee and agreed to by the BellRing Brands, Inc. board of directors, be converted into awards issued under the 2019 LTIP or any successor thereto. The corporate governance and compensation committee of the Post board of directors will have the exclusive authority to determine the treatment of any outstanding Post equity awards in the event of a subsequent spinoff or sale of Post’s retained interest in us, consistent with the terms of Post’s long-term incentive plans and any applicable award agreements thereunder. BellRing Brands, LLC and its subsidiaries will bear the monthly actual expense and the employer related payroll expense of any such outstanding awards while outstanding and due to their settlement or exercise.</w:t>
      </w:r>
    </w:p>
    <w:p>
      <w:pPr>
        <w:spacing w:after="0" w:line="17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and Post may terminate the employee matters agreement by mutual consent, and Post may terminate the employee matters agreement in the event of a change of control of Post, or a change of control of BellRing Brands, Inc. or the sale of all or substantially all of its consolidated assets. In the event that BellRing Brands, Inc. directly or indirectly acquires or creates a subsidiary which is not otherwise a direct or indirect subsidiary of BellRing Brands, LLC and which employs employees, Post, BellRing Brands, Inc. and BellRing Brands, LLC will re-negotiate the employee matters agreement in good faith in order to, among other items, reflect that such new subsidiary will be responsible for liabilities associated with its employees.</w:t>
      </w:r>
    </w:p>
    <w:p>
      <w:pPr>
        <w:spacing w:after="0" w:line="158"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b w:val="1"/>
          <w:bCs w:val="1"/>
          <w:i w:val="1"/>
          <w:iCs w:val="1"/>
          <w:color w:val="auto"/>
        </w:rPr>
        <w:t xml:space="preserve">Investor Rights Agreement. </w:t>
      </w:r>
      <w:r>
        <w:rPr>
          <w:rFonts w:ascii="Arial" w:cs="Arial" w:eastAsia="Arial" w:hAnsi="Arial"/>
          <w:sz w:val="17"/>
          <w:szCs w:val="17"/>
          <w:color w:val="auto"/>
        </w:rPr>
        <w:t>As part of the formation transactions and this offering, BellRing Brands, Inc. will enter into the investor rights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Post. The investor rights agreement will provide Post with certain demand, shelf and piggyback registration rights with respect to its shares of BellRing Brands, Inc. Class A common stock and also will provide Post with certain governance rights, depending on the percentage of the total voting power of BellRing Brands, Inc. outstanding common stock held by Post.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31" w:lineRule="exact"/>
        <w:rPr>
          <w:sz w:val="20"/>
          <w:szCs w:val="20"/>
          <w:color w:val="auto"/>
        </w:rPr>
      </w:pPr>
    </w:p>
    <w:p>
      <w:pPr>
        <w:ind w:left="1180" w:right="540" w:hanging="544"/>
        <w:spacing w:after="0" w:line="342"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after the completion of this offering, Post and its affiliates will have the right to cause us to conduct an unlimited number of demand registrations, subject to certain customary restrictions, which demand registrations may take the form of a shelf registration;</w:t>
      </w:r>
    </w:p>
    <w:p>
      <w:pPr>
        <w:spacing w:after="0" w:line="29" w:lineRule="exact"/>
        <w:rPr>
          <w:rFonts w:ascii="Arial" w:cs="Arial" w:eastAsia="Arial" w:hAnsi="Arial"/>
          <w:sz w:val="16"/>
          <w:szCs w:val="16"/>
          <w:color w:val="auto"/>
        </w:rPr>
      </w:pPr>
    </w:p>
    <w:p>
      <w:pPr>
        <w:ind w:left="1180" w:right="320" w:hanging="544"/>
        <w:spacing w:after="0" w:line="308" w:lineRule="auto"/>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once we are eligible to do so, Post and its affiliates will have the right to cause us to file and have declared effective a shelf registration statement on Form S-3 with respect to all of their shares of BellRing Brands, Inc. Class A common stock; and</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us.</w:t>
      </w:r>
    </w:p>
    <w:p>
      <w:pPr>
        <w:spacing w:after="0" w:line="225"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registration rights provisions also will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investor rights agreement. Registration rights may be transferred by Post and its affiliates, subject to certain restrictions. No predetermined penalties or liquidated damages will be payable by us if we fail to comply with the registration rights provisions of the investor rights agreement.</w:t>
      </w:r>
    </w:p>
    <w:p>
      <w:pPr>
        <w:spacing w:after="0" w:line="15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the completion of this offering, our Board of Directors will have five members, divided into three classes. The investor rights agreement will provide that Post, subject to applicable corporate governance rules of the SEC and the NYSE (which may require Post to designate independent directors), will have the right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designate: (i) a majority of the directors (and if the number of directors is even, one director more than 50% of the number of directors) if the votes that may be cast by Post under our amended and restated certificate of incorporation are more than 50% of the total voting power of our outstanding common stock, (ii) one less than a majority of the directors (and if the number of directors is even, 50% of the number of directors) if the votes that may be cast by Post under our amended and restated certificate of incorporation are more than 25% but 50% or less of the total voting power of our outstanding common stock and (iii) one-third of the directors (rounded down to the nearest whole number)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If a vacancy is created on our Board of Directors as a result of the death, disability, retirement, resignation or removal of a director who was designated by Post, Post will have the right to designate such person’s replacement. For so long as the votes that may be cast by Post under our amended and restated certificate of incorporation are 25% or more of the outstanding BellRing Brands, Inc. common stock, Post will have the right, subject to applicable corporate governance rules of the SEC and the NYSE, to designate the members of the committees of our Board of Directors. For any person designated by Post as provided above, BellRing Brands, Inc. will ensure that such person so designated will be nominated for election and will use reasonable best efforts to cause such person to be elected as a director.</w:t>
      </w:r>
    </w:p>
    <w:p>
      <w:pPr>
        <w:spacing w:after="0" w:line="17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investor rights agreement will terminate when Post and its permitted transferees hold less than 2.5% of the total voting power of our outstanding common stock.</w:t>
      </w:r>
    </w:p>
    <w:p>
      <w:pPr>
        <w:spacing w:after="0" w:line="166"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i w:val="1"/>
          <w:iCs w:val="1"/>
          <w:color w:val="auto"/>
        </w:rPr>
        <w:t>Amended and Restated Limited Liability Company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 formation transactions and this offering, BellRing Brands,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and BellRing Brands, LLC will enter into the amended and restated limited liability company agreement, which will govern the operations of BellRing Brands, LLC and the rights and obligations of its members (which will initially be Post and us). We will operate our business through BellRing Brands, LLC and its consolidated subsidiaries.</w:t>
      </w:r>
    </w:p>
    <w:p>
      <w:pPr>
        <w:spacing w:after="0" w:line="184"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i w:val="1"/>
          <w:iCs w:val="1"/>
          <w:color w:val="auto"/>
        </w:rPr>
        <w:t>Reorganization</w:t>
      </w:r>
      <w:r>
        <w:rPr>
          <w:rFonts w:ascii="Arial" w:cs="Arial" w:eastAsia="Arial" w:hAnsi="Arial"/>
          <w:sz w:val="18"/>
          <w:szCs w:val="18"/>
          <w:color w:val="auto"/>
        </w:rPr>
        <w:t>. As part of the formation transactions, BellRing Brands, LLC will establish two new classes of its common units, a voting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 and nonvoting common units (such nonvoting common units are referred to as BellRing Brands, LLC Units). BellRing Brands, LLC will issue one voting membership unit to BellRing Brands, Inc., which will confer the right to appoint all members of the Board of Managers of BellRing Brands, LLC. All of the existing membership interests in BellRing Brands, LLC owned by Post prior to the formation transactions will be reclassified into 97,474,180 BellRing Brands, LLC Units in connection with the formation transactions. In connection with the formation transactions and this offering, additional BellRing Brands, LLC Units will be issued to BellRing Brands, Inc. as described under “Prospectus Summary—Formation Transactions.” The Board of Managers may cause BellRing Brands, LLC to issue from time to time such additional units or other equity securities as it may determine.</w:t>
      </w:r>
    </w:p>
    <w:p>
      <w:pPr>
        <w:spacing w:after="0" w:line="19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BellRing Brands, LLC will be managed by its Board of Managers. The number of managers of BellRing Brands, LLC will be fixed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exclusively by BellRing Brands, Inc., as the owner of the sole voting membership unit of BellRing Brands, LLC, but in no event will it consist of less than five nor more than twelve managers. As the owner of the sole voting membership unit, BellRing Brands, Inc. will have the sole power to appoint and remove all of the members of the Board of Managers, with or without cause. No other members of BellRing Brands, LLC, in their capacity as such, will have any authority or right to appoint members to the Board of Managers, and therefore will not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None of the members of BellRing Brands, LLC will have any authority or right to control the management of BellRing Brands, LLC or to bind it in connection with any matter. Post, however, will have the ability to exercise majority voting control over BellRing Brands, Inc. by virtue of its ownership of our Class B</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common stock (for so long as Post or its affiliates (other than us) directly own more than 50% of the BellRing Brands, LLC Units as set forth in this prospectus) and the investor rights agreement, which will give Post the ability to designate a majority of our Board of Directors (for so long as the votes that may be cast by Post under our amended and restated certificate of incorporation are more than 50% of the total voting power of our outstanding common stock).</w:t>
      </w:r>
    </w:p>
    <w:p>
      <w:pPr>
        <w:spacing w:after="0" w:line="18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 xml:space="preserve">Economic and Voting Rights of Members. </w:t>
      </w:r>
      <w:r>
        <w:rPr>
          <w:rFonts w:ascii="Arial" w:cs="Arial" w:eastAsia="Arial" w:hAnsi="Arial"/>
          <w:sz w:val="16"/>
          <w:szCs w:val="16"/>
          <w:color w:val="auto"/>
        </w:rPr>
        <w:t>Each BellRing Brands, LLC Unit will entitle the holder to economic rights equal to the economic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other BellRing Brands, LLC Unit. Other than the rights of BellRing Brands, Inc., as the holder of the sole voting membership unit, to fix the number of, and to appoint and remove, the members of the Board of Managers, the members of BellRing Brands, LLC will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165"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i w:val="1"/>
          <w:iCs w:val="1"/>
          <w:color w:val="auto"/>
        </w:rPr>
        <w:t xml:space="preserve">Other BellRing Brands, LLC Securities. </w:t>
      </w:r>
      <w:r>
        <w:rPr>
          <w:rFonts w:ascii="Arial" w:cs="Arial" w:eastAsia="Arial" w:hAnsi="Arial"/>
          <w:sz w:val="16"/>
          <w:szCs w:val="16"/>
          <w:color w:val="auto"/>
        </w:rPr>
        <w:t>Under the amended and restated limited liability company agreement, the Board of Managers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BellRing Brands, Inc. holds in BellRing Brands, LLC.</w:t>
      </w:r>
    </w:p>
    <w:p>
      <w:pPr>
        <w:spacing w:after="0" w:line="154"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under the amended and restated limited liability company agreement, BellRing Brands, LLC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will provide,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obligations of BellRing Brands, Inc. under the tax receivable agreement.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If and to the extent any such reimbursements constitute gross income to BellRing Brands, Inc. or any of its affiliates, such amounts will be treated as “guaranteed payments” within the meaning of Code Section 707(c) and will not be treated as distributions for purposes of computing the capital accounts of BellRing Brands, LLC’s members.</w:t>
      </w:r>
    </w:p>
    <w:p>
      <w:pPr>
        <w:spacing w:after="0" w:line="185"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Coordination of BellRing Brands, Inc. and BellRing Brands, LLC</w:t>
      </w:r>
      <w:r>
        <w:rPr>
          <w:rFonts w:ascii="Arial" w:cs="Arial" w:eastAsia="Arial" w:hAnsi="Arial"/>
          <w:sz w:val="17"/>
          <w:szCs w:val="17"/>
          <w:color w:val="auto"/>
        </w:rPr>
        <w:t>. Under the amended and restated limited liability company agreement,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issues a share of Class A common stock or any other equity security entitled to any economic rights (including, without limitation, in this offering or pursuant to equity compensation plans or outstanding options, rights, warrants or other awards thereunder), which such securities we refer to collectively as “economic company securities,” BellRing Brands, LLC must issue to BellRing Brands, Inc. one BellRing Brands, LLC Unit (if BellRing Brands, Inc. issues a share of Class A common stock) or such other equity security (if BellRing Brands, Inc. issues an economic company security other than Class A common stock) corresponding to the economic company security BellRing Brands, Inc. issues, and with substantially the same rights to dividends and distributions; provided, that the net proceeds BellRing Brands, Inc. receives with respect to the corresponding economic company security, if any, must be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concurrently contributed to BellRing Brands, LLC, subject to certain exceptions; provided further, that if BellRing Brands, Inc. issues any shares of Class A common stock in order to purchase or fund the purchase from any person other than a member of BellRing Brands, LLC of a number of BellRing Brands, LLC Units or to purchase or fund the purchase of shares of Class A common stock, then BellRing Brands, LLC is not required to issue any new BellRing Brands, LLC Units and BellRing Brands, Inc. is not required to contribute such net proceeds to BellRing Brands, LLC. BellRing Brands, LLC may not issue any additional BellRing Brands, LLC Units to BellRing Brands, Inc. or to any of our subsidiaries unless substantially simultaneously therewith BellRing Brands, Inc. or such subsidiary issues or sells an equal number of shares of Class A common stock to another person, and BellRing Brands, LLC may not issue any other equity securities to BellRing Brands, Inc. or to any of our subsidiaries unless substantially simultaneously, BellRing Brands, Inc. or such subsidiary issues or sells to another person an equal number of shares of a new class or series of the equity of BellRing Brands, Inc. or such subsidiary with substantially the same rights to dividends and distributions and other economic rights as those of such BellRing Brands, LLC equity securities.</w:t>
      </w:r>
    </w:p>
    <w:p>
      <w:pPr>
        <w:spacing w:after="0" w:line="178"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Conversely, subject to certain exceptions, neither BellRing Brands, Inc. nor any of our subsidiaries may redeem, repurchase or otherwise acquire any shares of Class A common stock unless substantially simultaneously BellRing Brands, LLC redeems, repurchases or otherwise acquires from BellRing Brands, Inc. or such subsidiary an equal number of BellRing Brands, LLC Units for the same price per security (or, if BellRing Brands, Inc. uses funds received from distributions from BellRing Brands, LLC or other funds available to it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16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we determine that (i) the terms of any of our or our subsidiaries’ debt does not permit us to comply with the provisions of the amended and restated limited liability company agreement described above in connection with the issuance, redemption or repurchase of any shares of Class A common stock or other equity securities of BellRing Brands, Inc. (or similar securities of our subsidiaries), or any BellRing Brands, LLC Units or other equity securities of BellRing Brands, LLC, or (ii) if (x) BellRing Brands Inc. incurs any indebtedness and desires to transfer the proceeds of such indebtedness to BellRing Brands, LLC and (y) BellRing Brands, Inc. is unable to lend the proceeds of such indebtedness to BellRing Brands, LLC on an equivalent basis because of restrictions in any debt instrument of BellRing Brands, Inc., then we may implement an economically equivalent alternative arrangement without complying with such provisions. Any such arrangement is be subject to the prior written consent of Post for so long as Post holds at least 10% of the BellRing Brands, LLC Units.</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Transfer of BellRing Brands, LLC Units</w:t>
      </w:r>
      <w:r>
        <w:rPr>
          <w:rFonts w:ascii="Arial" w:cs="Arial" w:eastAsia="Arial" w:hAnsi="Arial"/>
          <w:sz w:val="16"/>
          <w:szCs w:val="16"/>
          <w:color w:val="auto"/>
        </w:rPr>
        <w:t>. No member of BellRing Brands, LLC may directly or indirectly transfer all or any part of its BellRing</w:t>
      </w:r>
      <w:r>
        <w:rPr>
          <w:rFonts w:ascii="Arial" w:cs="Arial" w:eastAsia="Arial" w:hAnsi="Arial"/>
          <w:sz w:val="16"/>
          <w:szCs w:val="16"/>
          <w:i w:val="1"/>
          <w:iCs w:val="1"/>
          <w:color w:val="auto"/>
        </w:rPr>
        <w:t xml:space="preserve"> </w:t>
      </w:r>
      <w:r>
        <w:rPr>
          <w:rFonts w:ascii="Arial" w:cs="Arial" w:eastAsia="Arial" w:hAnsi="Arial"/>
          <w:sz w:val="16"/>
          <w:szCs w:val="16"/>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the following permitted transfers:</w:t>
      </w:r>
    </w:p>
    <w:p>
      <w:pPr>
        <w:spacing w:after="0" w:line="60" w:lineRule="exact"/>
        <w:rPr>
          <w:sz w:val="20"/>
          <w:szCs w:val="20"/>
          <w:color w:val="auto"/>
        </w:rPr>
      </w:pPr>
    </w:p>
    <w:p>
      <w:pPr>
        <w:ind w:left="1180" w:right="280" w:hanging="544"/>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transfers pursuant to a tender offer, share exchange offer, issuer bid, take-over bid, recapitalization or similar transaction with respect to Class A common stock or a merger, consolidation or other business combination of BellRing Brands, Inc.;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transfers by Post to another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transfers in connection with a redemption of BellRing Brands, LLC Units (as described below under “—Redemption Rights”);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transfers of restricted securities (as defined in the investor rights agreement) in accordance with the investor rights agreement;</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544"/>
        <w:spacing w:after="0" w:line="264"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by Post in connection with any distribution of its beneficial retained interest in BellRing Brands, LLC to its shareholders (including transfers to a subsidiary of Post in connection therewith (whether or not accompanied by a merger of such subsidiary with BellRing Brands, Inc. or any of its subsidiaries)); and</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transfer of shares of our Class A common stock.</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connection with any (i) transfer by Post or any of its affiliates (other than us) of any BellRing Brands, LLC Units to any person other than us or Post’s affiliates, or (ii) issuance of additional BellRing Brands, LLC Units by BellRing Brands, LLC to any person other than us, Post or Post’s affiliates, in either case, Post or such affiliate must grant to the transferee a written proxy, or enter into a written voting agreement or other voting arrangement with such transferee; provided, that no such proxy, voting agreement or other voting arrangement will be required in connection with a transfer by Post</w:t>
      </w:r>
    </w:p>
    <w:p>
      <w:pPr>
        <w:spacing w:after="0" w:line="2" w:lineRule="exact"/>
        <w:rPr>
          <w:sz w:val="20"/>
          <w:szCs w:val="20"/>
          <w:color w:val="auto"/>
        </w:rPr>
      </w:pPr>
    </w:p>
    <w:p>
      <w:pPr>
        <w:ind w:left="200" w:firstLine="4"/>
        <w:spacing w:after="0" w:line="273" w:lineRule="auto"/>
        <w:tabs>
          <w:tab w:leader="none" w:pos="4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pursuant to a tender offer, share exchange offer, issuer bid, take-over bid, recapitalization or similar transaction with respect to Class A common stock or a merger, consolidation or other business combination of BellRing Brands, Inc., (ii) as part of a redemption of BellRing Brands, LLC Units, (iii) of “registrable securities” (as defined in the investor rights agreement) in accordance with the investor rights agreement, (iv) as part of any distribution of its beneficial retained interest in BellRing Brands, LLC to its shareholders or (v) of shares of our Class A common stock.</w:t>
      </w:r>
    </w:p>
    <w:p>
      <w:pPr>
        <w:spacing w:after="0" w:line="17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76" w:lineRule="exact"/>
        <w:rPr>
          <w:sz w:val="20"/>
          <w:szCs w:val="20"/>
          <w:color w:val="auto"/>
        </w:rPr>
      </w:pPr>
    </w:p>
    <w:p>
      <w:pPr>
        <w:ind w:left="1180" w:right="120" w:hanging="544"/>
        <w:spacing w:after="0" w:line="264"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86" w:lineRule="exact"/>
        <w:rPr>
          <w:rFonts w:ascii="Arial" w:cs="Arial" w:eastAsia="Arial" w:hAnsi="Arial"/>
          <w:sz w:val="18"/>
          <w:szCs w:val="18"/>
          <w:color w:val="auto"/>
        </w:rPr>
      </w:pPr>
    </w:p>
    <w:p>
      <w:pPr>
        <w:ind w:left="1180" w:right="20" w:hanging="544"/>
        <w:spacing w:after="0" w:line="259"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92" w:lineRule="exact"/>
        <w:rPr>
          <w:rFonts w:ascii="Arial" w:cs="Arial" w:eastAsia="Arial" w:hAnsi="Arial"/>
          <w:sz w:val="18"/>
          <w:szCs w:val="18"/>
          <w:color w:val="auto"/>
        </w:rPr>
      </w:pPr>
    </w:p>
    <w:p>
      <w:pPr>
        <w:ind w:left="1180" w:right="140" w:hanging="544"/>
        <w:spacing w:after="0" w:line="297" w:lineRule="auto"/>
        <w:tabs>
          <w:tab w:leader="none" w:pos="1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 common stock or us will constitute a revocation of the rights granted under such proxy, agreement or other arrangement with respect to the BellRing Brands, LLC Units so transferred.</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Redemption Rights</w:t>
      </w:r>
      <w:r>
        <w:rPr>
          <w:rFonts w:ascii="Arial" w:cs="Arial" w:eastAsia="Arial" w:hAnsi="Arial"/>
          <w:sz w:val="17"/>
          <w:szCs w:val="17"/>
          <w:color w:val="auto"/>
        </w:rPr>
        <w:t>. Each member (other than us) will have the right to cause BellRing Brands, LLC to redeem its BellRing Brands, LLC Units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at BellRing Brands, LLC’s option (as determined by its Board of Managers), (i) shares of our Class A common stock or (ii)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17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Exculpation and Indemnification. </w:t>
      </w:r>
      <w:r>
        <w:rPr>
          <w:rFonts w:ascii="Arial" w:cs="Arial" w:eastAsia="Arial" w:hAnsi="Arial"/>
          <w:sz w:val="17"/>
          <w:szCs w:val="17"/>
          <w:color w:val="auto"/>
        </w:rPr>
        <w:t>Neither any member of the Board of Managers nor any member of BellRing Brands, LLC (including Post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nor their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claims, damages or liabilities incurred by reason of any act or omission performed or omitted by such covered person in good faith on behalf of BellRing Brands, LLC.</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16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BellRing Brands, LLC will be dissolved and its business wound up only upon the earliest to occur of forty-five days after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disposition of all or substantially all of the assets of BellRing Brands, LLC or upon the approval of the Board of Managers.</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Amendments. </w:t>
      </w:r>
      <w:r>
        <w:rPr>
          <w:rFonts w:ascii="Arial" w:cs="Arial" w:eastAsia="Arial" w:hAnsi="Arial"/>
          <w:sz w:val="17"/>
          <w:szCs w:val="17"/>
          <w:color w:val="auto"/>
        </w:rPr>
        <w:t>The amended and restated limited liability company agreement may not be amended without the prior written consent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Managers and of members holding a majority in interest of BellRing Brands, LLC Units, except that the Board of Managers, acting alone, may amend the amended and restated limited liability company agreement (i) to reflect the admission of new members or transfers of units, as provided by and in accordance with the terms of the amended and restated limited liability company agreement, (ii) to effect any subdivisions or combinations of units made in compliance with the amended and restated limited liability company agreement and (iii) to issue additional BellRing Brands, LLC Units or any new class of units in accordance with the terms of the amended and restated limited liability company agreement.</w:t>
      </w:r>
    </w:p>
    <w:p>
      <w:pPr>
        <w:spacing w:after="0" w:line="17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amended and restated limited liability company agreement specifies that the Board of Managers, acting alone, may amend the amended and restated limited liability company agreement to, among other matters, reflect the admission of new members or transfers of BellRing Brands, LLC Units or any other class of units, effect any subdivisions or combinations of BellRing Brands, LLC Units or any other class of units and issue additional BellRing Brands, LLC Units or any new class of units, each in compliance with the applicable terms of the amended and restated limited liability company agreement.</w:t>
      </w:r>
    </w:p>
    <w:p>
      <w:pPr>
        <w:spacing w:after="0" w:line="18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Post (or certain of its transferees or assignees) may redeem BellRing Brands, LLC Units for, at the option of BellRing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Brands, LLC (as determined by its Board of Managers), shares of our Class A common stock or cash pursuant to the amended and restated limited liability company agreement. See “—Amended and Restated Limited Liability Company Agreement.” These redemptions, certain formation transactions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share of the tax basis of BellRing Brands, LLC’s assets that otherwise would not have been available to us.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16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Upon the closing of this offering, BellRing Brands, Inc. will enter into the tax receivable agreement with Post and BellRing Brands, LLC. Under the tax receivable agreement, we will be required to make cash payments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basis adjustments, deductions, etc.) attributable to payments under the tax receivable agreement. Any payments made by us under the tax receivable agreement will generally reduce the amount of overall cash flow that might have otherwise been available to us.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to the tax receivable agreement. BellRing Brands, LLC will have in effect an election under Section 754 of the Code effective for each taxable year in which a redemption of BellRing Brands, LLC Units for shares of our Class A common stock or cash occurs. Payments under the tax receivable agreement are not conditioned on Post’s continued ownership of BellRing Brands, LLC Units or our Class A common stock or Class B common stock after this offering. The rights of Post under the tax receivable agreement are assignable to transferees of Post’s BellRing Brands, LLC Units (other than us as transferee pursuant to subsequent redemptions of the transferred BellRing Brands, LLC Units).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We expect to benefit from the remaining 15% of tax benefits, if any, that we may realize (or in some cases, are deemed to realize). The payment obligations under the tax receivable agreement are obligations of BellRing Brands, Inc. and not of BellRing Brands, LLC.</w:t>
      </w:r>
    </w:p>
    <w:p>
      <w:pPr>
        <w:spacing w:after="0" w:line="182"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actual increase in tax basis and the amount and timing of any payments under the tax receivable agreement will vary depending upon a number of factors, including:</w:t>
      </w:r>
    </w:p>
    <w:p>
      <w:pPr>
        <w:spacing w:after="0" w:line="76" w:lineRule="exact"/>
        <w:rPr>
          <w:sz w:val="20"/>
          <w:szCs w:val="20"/>
          <w:color w:val="auto"/>
        </w:rPr>
      </w:pPr>
    </w:p>
    <w:p>
      <w:pPr>
        <w:ind w:left="1180" w:right="80" w:hanging="544"/>
        <w:spacing w:after="0" w:line="264"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in connection with this offering and at the time of redemptions</w:t>
      </w:r>
      <w:r>
        <w:rPr>
          <w:rFonts w:ascii="Arial" w:cs="Arial" w:eastAsia="Arial" w:hAnsi="Arial"/>
          <w:sz w:val="18"/>
          <w:szCs w:val="18"/>
          <w:color w:val="auto"/>
        </w:rPr>
        <w:t>—the basis adjustments,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any related increase in any tax deductions, is directly related to the price of shares of our Class A common stock at the time of the closing of this offering and each redemption;</w:t>
      </w:r>
    </w:p>
    <w:p>
      <w:pPr>
        <w:spacing w:after="0" w:line="86"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timing of any redemptions</w:t>
      </w:r>
      <w:r>
        <w:rPr>
          <w:rFonts w:ascii="Arial" w:cs="Arial" w:eastAsia="Arial" w:hAnsi="Arial"/>
          <w:sz w:val="18"/>
          <w:szCs w:val="18"/>
          <w:color w:val="auto"/>
        </w:rPr>
        <w:t>—for instance, the increase in any tax deductions will vary depending on the fair value, which may fluctuate</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of the depreciable or amortizable assets of BellRing Brands, LLC at the time of each redemption;</w:t>
      </w:r>
    </w:p>
    <w:p>
      <w:pPr>
        <w:spacing w:after="0" w:line="75" w:lineRule="exact"/>
        <w:rPr>
          <w:rFonts w:ascii="Arial" w:cs="Arial" w:eastAsia="Arial" w:hAnsi="Arial"/>
          <w:sz w:val="18"/>
          <w:szCs w:val="18"/>
          <w:color w:val="auto"/>
        </w:rPr>
      </w:pPr>
    </w:p>
    <w:p>
      <w:pPr>
        <w:ind w:left="1180" w:right="480" w:hanging="544"/>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are taxable</w:t>
      </w:r>
      <w:r>
        <w:rPr>
          <w:rFonts w:ascii="Arial" w:cs="Arial" w:eastAsia="Arial" w:hAnsi="Arial"/>
          <w:sz w:val="18"/>
          <w:szCs w:val="18"/>
          <w:color w:val="auto"/>
        </w:rPr>
        <w:t>—if a redemption is not taxable for any reason, increased tax deductions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w:t>
      </w:r>
    </w:p>
    <w:p>
      <w:pPr>
        <w:spacing w:after="0" w:line="75"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those benefits are treated as realized under the terms of the tax receivable agreement. If we do not have taxable income, we generally will not be required (absent a change of control or other circumstances requiring an early termination payment)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544"/>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any future changes in federal tax laws</w:t>
      </w:r>
      <w:r>
        <w:rPr>
          <w:rFonts w:ascii="Arial" w:cs="Arial" w:eastAsia="Arial" w:hAnsi="Arial"/>
          <w:sz w:val="18"/>
          <w:szCs w:val="18"/>
          <w:color w:val="auto"/>
        </w:rPr>
        <w:t>—if future changes in federal tax laws result in changes in the amount and timing of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changes to interest expense limitations);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any future changes in federal corporate income tax rates.</w:t>
      </w:r>
    </w:p>
    <w:p>
      <w:pPr>
        <w:spacing w:after="0" w:line="225"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our actual income tax liability (using assumed state and local tax rates on a base equal to the U.S. federal taxable income of BellRing Brands, Inc.) to the amount of such taxes that we would have been required to pay had there been no basis adjustments, or disproportionate allocations of tax benefits to BellRing Brands, Inc. as a result of Section 704(c) of the Code, and had the tax receivable agreement not been entered into. The tax receivable agreement will generally apply to each of our taxable years, beginning with the first taxable year ending after the consummation of this offering. There is no maximum term for the tax receivable agreement; however, the tax receivable agreement may be voluntarily terminated by a majority of our independent directors pursuant to an early termination procedure and will be terminated upon the occurrence of certain mergers, asset sales, other forms of business combination or other changes of control (but specifically excluding any distributions by Post of its retained beneficial interest in BellRing Brands, LLC by means of a spin-off to its shareholders) or our material breach of our material obligations under the tax receivable agreement, and in each case we will be obligated to pay Post (and its transferees and assignees) an agreed upon amount equal to the estimated present value of the remaining payments to be made under the tax receivable agreement (calculated based on certain assumptions, including regarding tax rates and utilization of the basis adjustments).</w:t>
      </w:r>
    </w:p>
    <w:p>
      <w:pPr>
        <w:spacing w:after="0" w:line="1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Post has advised us that, except under the circumstances described under “Use of Proceeds,” it has no definitive plans to exit its interests in BellRing Brands, Inc. or BellRing Brands, LLC, and it does not currently expect that any such exit would include the redemption of its BellRing Brands, LLC Units, as described above, due to unfavorable tax consequences that it could incur as a result, particularly in light of the availability of more tax-efficient exit alternatives – including tax-free “spin-off” or “split-off” transactions (which are not expected to result in adjustments to the tax basis of the assets of BellRing Brands, LLC). Post (or its transferees or assignees) may nevertheless determine to engage in redemptions or exchanges in its sole discretion.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92"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Post (or its assignees or transferees)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7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tax receivable agreement will provide that, upon a merger, asset sale or other form of business combination or certain other changes of control or if, at any time, a majority of our independent directors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As a result of the foregoing, we would be required to make an immediate cash payment equal to the estimated present value of the anticipated future tax benefits that are the subject of the tax receivable agreement (using a discount rate equal to the lesser of 6.5% per annum, compounded annually, and LIBOR plus 300 basis points), which payment may be made significantly in advance of the actual realization, if</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any, of those future tax benefits and, therefore, we could be required to make payments under the tax receivable agreement that are greater than the specified percentage of the actual tax benefits we ultimately realize.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Such obligations under the tax receivable agreement, however, would not arise if Post distributes its beneficial retained interest in BellRing Brands, LLC by means of a spin-off to its shareholders. For an illustration of the amount, based upon certain assumptions, that would be payable by BellRing Brands, Inc. under the tax receivable agreement if a majority of our independent directors were to elect to terminate the tax receivable agreement immediately after this offering, see “Unaudited Pro Forma Condensed Consolidated Financial Information.”</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If the outcome of any such challenge would reasonably be expected to materially affect a recipient’s payments under the tax receivable agreement, then we will not be permitted to settle or to fail to contest such challenge without the consent (not to be unreasonably withheld or delayed) of Post (and its transferees and assignees), and any such restrictions will apply for as long as the tax receivable agreement remains in effect.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18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Payments will generally be due under the tax receivable agreement within a specified period of time following the filing of our tax return for the taxable year with respect to which the payment obligation arises, although interest on such payments will begin to accrue at a rate of LIBOR plus 100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w:t>
      </w:r>
    </w:p>
    <w:p>
      <w:pPr>
        <w:spacing w:after="0" w:line="15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Upon consummation of this offering, BellRing Brands, Inc. will be a holding company, will have no material assets other than its ownership of BellRing Brands, LLC Units, and will have no independent means of generating revenue or cash flow. We expect that BellRing Brands, LLC will make distributions pro rata to holders of BellRing Brands, LLC Units in an amount sufficient to allow us to pay our tax obligations in respect of taxable income allocated to us from BellRing Brands, LLC, any payments due under the tax receivable agreement and our operating expenses, which could be significant. In addition, the amended and restated limited liability company agreement will provide that BellRing Brands, LLC will reimburse BellRing Brands, Inc. for any reasonable out-of-pocket expenses incurred on behalf of the Company,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If BellRing Brands, LLC does not distribute sufficient funds for us to pay</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operating expenses, including taxes and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could result in the acceleration of payments due under the tax receivable agreement.</w:t>
      </w:r>
    </w:p>
    <w:p>
      <w:pPr>
        <w:spacing w:after="0" w:line="18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voting stock and hold its economic interest in BellRing Brands, LLC directly, confers certain benefits upon Post that will not benefit the holders of our Class A common stock to the same extent as it will benefit Post. Although we will retain 15% of the amount of the tax benefits described above, it is possible that the interests of Post may in some circumstances conflict with our interests and the interests of our other stockholders, including you. For example,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us or in BellRing Brands, LLC, such as a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In the event Post is sold, the acquiring party will succeed to the rights and obligations of BellRing Brands, LLC under the tax receivable agreement.</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Tax Matters Agreement. </w:t>
      </w:r>
      <w:r>
        <w:rPr>
          <w:rFonts w:ascii="Arial" w:cs="Arial" w:eastAsia="Arial" w:hAnsi="Arial"/>
          <w:sz w:val="18"/>
          <w:szCs w:val="18"/>
          <w:color w:val="auto"/>
        </w:rPr>
        <w:t>As part of the formation transactions and this offering, BellRing Brands, Inc. and BellRing Brands, LLC will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tax matters agreement with Post that will govern our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consolidated, combined, unitary or separate tax returns of BellRing Brands, LLC or any of its subsidiaries as determined under the tax matters agreement. In the event that BellRing Brands, Inc. is included in any consolidated, combined or unitary tax return of Post or any of its subsidiaries, then to the extent Post is required to pay any taxes of BellRing Brands, Inc. that are not otherwise attributable to BellRing Brands, LLC or its subsidiaries, or any separate tax attributes of Post or its subsidiaries (other than us) are used to offset such taxes, Post and BellRing Brands, Inc. will be responsible for such taxes as if BellRing Brands, Inc. were BellRing Brands, LLC.</w:t>
      </w:r>
    </w:p>
    <w:p>
      <w:pPr>
        <w:spacing w:after="0" w:line="16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Under the tax matters agreement, for so long as BellRing Brands, LLC or any of its subsidiaries are includable in any consolidated income tax return required to be filed by Post, Post will maintain separate calculations of the separate taxes and tax attributes of BellRing Brands, LLC and its subsidiaries, on the one hand, and Post and each person required to join in a tax return on a consolidated, combined or unitary basis (other than BellRing Brands, LLC and its subsidiaries), on the other hand. To the extent that BellRing Brands, LLC or any of its subsidiaries are required to be included in any consolidated income tax return required to be filed by Post, Post will prepare and file (or cause to be prepared and filed) each such return and will pay or cause to be paid all taxes due in respect thereof. In such event, BellRing Brands, LLC will pay to Post an amount of any taxes attributable to BellRing Brands, LLC and its subsidiaries that are actually paid by Post in respect of any</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240" w:top="460"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such return, subject to certain offsets or additional payments relating to tax liability that is reduced by separate tax attributes of one group or another to the extent the tax liability for a later tax period is greater than it would have been had such separate tax attribute not been used to reduce tax liability in a prior tax period. In the event of an audit of Post, on the one hand, or BellRing Brands, LLC or any of its subsidiaries, on the other hand, the entity being audited will notify the other party of, and keep it reasonably informed with respect to, the portion of such audit the outcome of which is reasonably expected to affect the other party’s rights and obligations under the tax matters agreement. The other party will have the right to participate in (but not control) and to monitor any such portion of such audit at its own expense, and the audited party will not settle or fail to contest any issue reasonably expected to materially affect the other party’s rights or obligations under the agreement without the other party’s prior written consent, such consent not to be unreasonably withheld, conditioned or delayed.</w:t>
      </w:r>
    </w:p>
    <w:p>
      <w:pPr>
        <w:spacing w:after="0" w:line="179"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Master Services Agreement. </w:t>
      </w:r>
      <w:r>
        <w:rPr>
          <w:rFonts w:ascii="Arial" w:cs="Arial" w:eastAsia="Arial" w:hAnsi="Arial"/>
          <w:sz w:val="18"/>
          <w:szCs w:val="18"/>
          <w:color w:val="auto"/>
        </w:rPr>
        <w:t>As part of the formation transactions and this offering, BellRing Brands, Inc. and BellRing Brands, LLC will 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the master services agreement with Post, pursuant to which we and Post currently expect that Post will provide some combination of the following services, among others, to us following completion of this offering:</w:t>
      </w:r>
    </w:p>
    <w:p>
      <w:pPr>
        <w:spacing w:after="0" w:line="87" w:lineRule="exact"/>
        <w:rPr>
          <w:sz w:val="20"/>
          <w:szCs w:val="20"/>
          <w:color w:val="auto"/>
        </w:rPr>
      </w:pPr>
    </w:p>
    <w:p>
      <w:pPr>
        <w:ind w:left="1180" w:right="600" w:hanging="544"/>
        <w:spacing w:after="0" w:line="277"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use of office and/or data center space;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charges for these services will be agreed upon prior to the completion of this offering. In general, the services to be provided by Post will begin on the date of the completion of this offering and will continue for the periods specified in the master services agreement, subject to any subsequent extension or truncation agreed to by us and Post. In addition, Post may terminate (i) the master services agreement or any services provided thereunder in the event of a change of control of Post, or a change of control of BellRing Brands, Inc. or the sale of all or substantially all of the consolidated assets of Post or BellRing Brands, Inc., (ii) any services provided to a subsidiary of BellRing Brands, Inc. in the event of a change of control of the subsidiary or the sale of all or substantially all of its assets, (iii) any services provided to a business line or operating division of BellRing Brands, Inc. or its subsidiaries in the event of a sale of such business line or operating division and (iv) any services provided by Post’s Canadian subsidiary, Post Foods Canada Inc., in the event of a change in control of Post Foods Canada Inc. We may terminate the master services agreement with respect to one or more particular services being received upon such notice as will be provided for in the master services agreement.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Upon completion of this offering, we expect that our Board of Directors will adopt a written code of conduct that complies with all applicable requirements of the SEC and the NYSE and that contains conflict of interest policies governing transactions involving any director, executive officer or beneficial owner of more than 5% of any class of our voting securities that could be deemed to present a conflict of interest, including transactions in which we participate where the amount involved exceeds $120,000 and in which any of our directors or executive officers, or any beneficial owner of more than 5% of any class of our voting securities, has or will have a direct or indirect material interest.</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be responsible for reviewing and either approving, ratifying or disapproving such transactions. In considering a related party transaction, we believe that our Corporate Governance and Compensation Committee will take into account relevant facts and circumstances, including the following:</w:t>
      </w:r>
    </w:p>
    <w:p>
      <w:pPr>
        <w:spacing w:after="0" w:line="87" w:lineRule="exact"/>
        <w:rPr>
          <w:sz w:val="20"/>
          <w:szCs w:val="20"/>
          <w:color w:val="auto"/>
        </w:rPr>
      </w:pPr>
    </w:p>
    <w:p>
      <w:pPr>
        <w:ind w:left="1180" w:right="220" w:hanging="544"/>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80"/>
          </w:cols>
          <w:pgMar w:left="240" w:top="460"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544"/>
        <w:spacing w:after="0" w:line="27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materiality of the director’s, executive officer’s or beneficial owner’s interest in the transaction, including any actual or perceived conflicts of interest;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not approve or ratify such transaction unless, after considering all facts and circumstances, including the factors listed above, it determines that the transaction is in, or is not inconsistent with, the best interests of us and our stockholders.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240" w:top="459" w:right="5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w:t>
      </w:r>
    </w:p>
    <w:p>
      <w:pPr>
        <w:spacing w:after="0" w:line="21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Class A common stock applicable to non-U.S. holders who acquire such shares in this offering. This discussion is based on current provisions of the Code, U.S. Treasury regulations promulgated under the Code, and administrative rulings and court decisions in effect as of the date of this prospectus, all of which are subject to change at any time, possibly with retroactive effect.</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for U.S. federal income tax purposes, a partnership or any of the following:</w:t>
      </w:r>
    </w:p>
    <w:p>
      <w:pPr>
        <w:spacing w:after="0" w:line="76" w:lineRule="exact"/>
        <w:rPr>
          <w:sz w:val="20"/>
          <w:szCs w:val="20"/>
          <w:color w:val="auto"/>
        </w:rPr>
      </w:pPr>
    </w:p>
    <w:p>
      <w:pPr>
        <w:ind w:left="1180" w:hanging="544"/>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30"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any state thereof or the District of Columbia;</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the income of which subject to U.S. federal income tax regardless of its source; or</w:t>
      </w:r>
    </w:p>
    <w:p>
      <w:pPr>
        <w:spacing w:after="0" w:line="130" w:lineRule="exact"/>
        <w:rPr>
          <w:rFonts w:ascii="Arial" w:cs="Arial" w:eastAsia="Arial" w:hAnsi="Arial"/>
          <w:sz w:val="18"/>
          <w:szCs w:val="18"/>
          <w:color w:val="auto"/>
        </w:rPr>
      </w:pPr>
    </w:p>
    <w:p>
      <w:pPr>
        <w:ind w:left="1180" w:right="360" w:hanging="544"/>
        <w:spacing w:after="0" w:line="291" w:lineRule="auto"/>
        <w:tabs>
          <w:tab w:leader="none" w:pos="11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trust if (1) a court within the U.S. is able to exercise primary supervision over the administration of the trust and one or more “U.S. persons” (within the meaning of Section 7701(2)(30) of the Code) have the authority to control all substantial decisions of the trust, or</w:t>
      </w:r>
    </w:p>
    <w:p>
      <w:pPr>
        <w:ind w:left="1180" w:right="320" w:hanging="4"/>
        <w:spacing w:after="0" w:line="261" w:lineRule="auto"/>
        <w:tabs>
          <w:tab w:leader="none" w:pos="143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it has a valid election in effect under applicable U.S. Treasury regulations to be treated as a U.S. person for U.S. federal income tax purposes.</w:t>
      </w:r>
    </w:p>
    <w:p>
      <w:pPr>
        <w:spacing w:after="0" w:line="184"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If an entity or arrangement treated as a partnership for U.S. federal income tax purposes holds shares of our Class A common stock, the tax treatment of a person treated as a partner generally will depend on the status of the partner and the activities of the partnership. Persons that for U.S. federal income tax purposes are treated as a partner in a partnership holding shares of our Class A common stock should consult their tax advisors.</w:t>
      </w:r>
    </w:p>
    <w:p>
      <w:pPr>
        <w:spacing w:after="0" w:line="14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This discussion assumes that a non-U.S. holder holds shares of our Class A common stock as a capital asset within the meaning of Section 1221 of the Code (generally, property held for investment). This discussion does not address all aspects of U.S. federal income taxation that may be important to a non-U.S. holder in light of that holder’s particular circumstances or that may be applicable to holders subject to special treatment under U.S. federal income tax law (including, for example, financial institutions, brokers or dealers in securities, traders in securities that elect mark-to-market treatment, insurance companies, controlled foreign corporations, passive investment companies, tax-exempt entities, holders who acquired our Class A common stock pursuant to the exercise of employee stock options or otherwise as compensation, entities or arrangements treated as partnerships for U.S. federal income tax purposes, holders liable for the alternative minimum tax, certain former citizens or former long-term residents of the U.S., holders who hold our Class A common stock as part of a hedge, straddle, constructive sale, conversion transaction or other risk-reduction transaction, persons subject to special tax accounting rules as a result of any item of gross income with respect to the Class A common stock being taken into account in an applicable financial statement, tax-qualified retirement plans, tax-exempt organizations or governmental organizations, persons deemed to sell our common stock under the constructive sale provisions of the Code, “qualified foreign pension funds” as defined in 897(1)(2) of the Code and entities all of the interests of which are held by qualified foreign pension funds and holders who own or have owned (directly, indirectly or constructively) 5% or more of our Class A common stock (by vote or value)). In addition, this discussion does not address U.S. federal tax laws other than those pertaining to the U.S. federal income tax, nor does it address any aspects of the Medicare contribution tax on net investment income, or U.S. state or local or non-U.S. taxes. Accordingly, prospective investors should consult with their own tax advisors regarding the U.S. federal, state or local, non-U.S. income and other tax considerations of acquiring, holding and disposing of shares of our Class A common stock.</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THIS SUMMARY IS NOT INTENDED TO CONSTITUTE A COMPLETE DESCRIPTION OF ALL TAX CONSEQUENCES RELATING TO THE OWNERSHIP AND DISPOSITION OF OUR CLASS A COMMON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STOCK. WE RECOMMEND THAT PROSPECTIVE HOLDERS OF OUR CLASS A COMMON STOCK CONSULT WITH THEIR TAX ADVISORS REGARDING THE TAX CONSEQUENCES TO THEM (INCLUDING THE APPLICATION AND EFFECT OF ANY STATE, LOCAL, NON-U.S. INCOME AND OTHER TAX LAWS) OF THE OWNERSHIP AND DISPOSITION OF OUR CLASS A COMMON STOCK.</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As described in this prospectus under “Dividend Policy,” we do not anticipate declaring or paying dividends to holders of our Class A common stock in the foreseeable future. In general, any distributions we make to a non-U.S. holder with respect to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U.S. (and, if required by an applicable income tax treaty, are attributable to a permanent establishment of the non-U.S. holder within the U.S.). A distribution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but not below zero, and, to the extent it exceeds the adjusted basis in the non-U.S. holder’s shares of our Class A common stock, as capital gain and will be treated as described below under “—Gain on Sale or Other Disposition of Our Class A Common Stock.” However, except to the extent that we elect (or the paying agent or other intermediary through which you hold your shares of Class A common stock elects) to withhold with respect to the taxable portion of the distribution only, we (or the intermediary) must generally withhold on the entire distribution, in which case you generally would be entitled to a refund from the IRS, to the extent the withholding exceeds your tax liability with respect to the distribution.</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on dividends will be required (a) to provide the applicable withholding agent with a properly executed IRS Form W-8BEN or IRS Form W-8BEN-E (or other applicable form) certifying under penalties of perjury that such holder is not a U.S. person as defined under the Code and is eligible for treaty benefits or</w:t>
      </w:r>
    </w:p>
    <w:p>
      <w:pPr>
        <w:ind w:left="200" w:right="220" w:firstLine="4"/>
        <w:spacing w:after="0" w:line="271" w:lineRule="auto"/>
        <w:tabs>
          <w:tab w:leader="none" w:pos="4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their possible entitlement to benefits under an applicable income tax treaty.</w:t>
      </w:r>
    </w:p>
    <w:p>
      <w:pPr>
        <w:spacing w:after="0" w:line="17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Dividends effectively connected with a non-U.S. holder’s conduct of a U.S. trade or business (and, if required by an applicable income tax treaty, attributable to such non-U.S. holder’s U.S. permanent establishment) generally will not be subject to U.S. withholding tax if the non-U.S. holder complies with applicable certification and disclosure requirements. Instead, such dividends generally will be subject to U.S. federal income tax on a net income basis, at the regular graduated rates. A non-U.S. holder that is a corporation may be subject to an additional “branch profits tax” at a rate of 30% (or such lower rate as may be specified by an applicable income tax treaty) on its “effectively connected earnings and profits,” subject to certain adjustments. To claim this exemption, the non-U.S. holder must furnish to the applicable withholding agent a valid IRS Form W-8ECI, certifying that the dividends are effectively connected with the non-U.S. holder’s conduct of a trade or business within the U.S.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Gain on Sale or Other Disposition of Our Class A Common Stock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general, a non-U.S. holder will not be subject to U.S. federal income tax or, subject to the discussion below under “—Information Reporting and Backup Withholding” and “—Foreign Account Tax Compliance Act,” withholding tax on any gain realized upon the sale or other disposition of our Class A common stock unless:</w:t>
      </w:r>
    </w:p>
    <w:p>
      <w:pPr>
        <w:spacing w:after="0" w:line="87" w:lineRule="exact"/>
        <w:rPr>
          <w:sz w:val="20"/>
          <w:szCs w:val="20"/>
          <w:color w:val="auto"/>
        </w:rPr>
      </w:pPr>
    </w:p>
    <w:p>
      <w:pPr>
        <w:ind w:left="1180" w:hanging="544"/>
        <w:spacing w:after="0" w:line="277"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(“USRPHC”) for U.S. federal income tax purposes at any time within the shorter of the five-year period ending on the date of the disposition and the non-U.S. holder’s holding period and certain other conditions are satisfied.</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Gain that is effectively connected with the conduct of a trade or business in the U.S. generally will be subject to U.S. federal income tax, net of certain deductions, at regular U.S. federal income tax rates. If the non-U.S. holder is a foreign corporation, the branch profits tax described above also may apply to such effectively connected gain. A nonresident alien individual non-U.S. holder who is subject to U.S. federal income tax because the non-U.S. holder was present in the U.S. for 183 days or more during the year of sale or other disposition of our Class A common stock will be subject to tax at a rate of 30% (or a reduced rate under an applicable income tax treaty) on the gain derived from such sale or other disposition, which may be offset by U.S. source capital losses, provided the non-U.S. holder has timely filed U.S. federal income tax returns with respect to such losses.</w:t>
      </w:r>
    </w:p>
    <w:p>
      <w:pPr>
        <w:spacing w:after="0" w:line="16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of our Class A common stock.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87"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U.S. backup withholding tax is imposed on certain payments to persons that fail to furnish the information required under the U.S. information reporting rules. Backup withholding is generally imposed at a rate of 24%. Backup withholding is not an additional tax. The amount of any backup withholding from a payment to you generally will be allowed as a credit against U.S. federal income tax provided that you provide the required information to the IRS in a timely manner. Dividends paid to a non-U.S. holder generally will be exempt from backup withholding if the non-U.S. holder provides a properly executed IRS Form W-8BEN, IRS Form W-8BEN-E or IRS Form W-8ECI, or otherwise establishes an exemption.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U.S. Treasury regulations, the payment of proceeds from the disposition of our Class A common stock by a non-U.S. holder effected at a U.S. office of a broker generally will be subject to information reporting and backup withholding, unless the beneficial owner, under penalties of perjury, certifies, among other things, its status as a non-U.S. holder or otherwise establishes an exemption. The payment of proceeds from the disposition of our Class A common stock by a non-U.S. holder effected at a non-U.S. office of a broker generally will not be subject to backup withholding and information reporting, except as noted below. In the case of proceeds from a disposition of our Class A common stock by a non-U.S. holder effected at a non-U.S. office of a broker that is:</w:t>
      </w:r>
    </w:p>
    <w:p>
      <w:pPr>
        <w:spacing w:after="0" w:line="99" w:lineRule="exact"/>
        <w:rPr>
          <w:sz w:val="20"/>
          <w:szCs w:val="20"/>
          <w:color w:val="auto"/>
        </w:rPr>
      </w:pPr>
    </w:p>
    <w:p>
      <w:pPr>
        <w:ind w:left="1180" w:hanging="544"/>
        <w:spacing w:after="0"/>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42" w:lineRule="exact"/>
        <w:rPr>
          <w:rFonts w:ascii="Arial" w:cs="Arial" w:eastAsia="Arial" w:hAnsi="Arial"/>
          <w:sz w:val="17"/>
          <w:szCs w:val="17"/>
          <w:color w:val="auto"/>
        </w:rPr>
      </w:pPr>
    </w:p>
    <w:p>
      <w:pPr>
        <w:ind w:left="1180" w:hanging="544"/>
        <w:spacing w:after="0" w:line="342" w:lineRule="auto"/>
        <w:tabs>
          <w:tab w:leader="none" w:pos="11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24"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information reporting will apply unless the broker has documentary evidence in its files that the owner is a non-U.S. holder and certain other conditions are satisfied, or the beneficial owner otherwise establishes an exemption (and the broker has no knowledge or reason to know to the contrary). Backup withholding will apply if the sale is subject to information reporting and the broker has actual knowledge that you are a U.S. person.</w:t>
      </w:r>
    </w:p>
    <w:p>
      <w:pPr>
        <w:spacing w:after="0" w:line="14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Under Sections 1471 through 1474 of the Code and the Treasury regulations promulgated thereunder (collectively, “FATCA”), a U.S. federal withholding tax of 30% generally will be imposed on certain payments made to a “foreign financial institution” (as specifically defined under these rules) unless such institution enters into an agreement with the U.S. tax authorities to withhold on certain payments and to collect and provide to the U.S. tax authorities substantial information regarding U.S. account holders of such institution or meets other exceptions. Under FATCA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Foreign entities located in jurisdictions that have an intergovernmental agreement with the U.S. governing these withholding and reporting requirements may be subject to different rules. Under certain circumstances, a non-U.S. holder might be eligible for refunds or credits of such taxes. These withholding taxes would be imposed on dividends with respect to our Class A common stock to foreign financial institutions or non-financial foreign entities (including in their capacity as agents or custodians for beneficial owners of our Class A common stock) that fail to satisfy the above requirements. In general, withholding on gross proceeds on disposition of our common stock is subject to withholding under FATCA as well. However, recently proposed Treasury regulations, which tax payers may generally rely upon until final regulations are issued, eliminate withholding on payments of gross proceeds. There can be no assurances, however, that future guidance will not restore the obligation to withhold on gross proceeds. Prospective non-U.S. holders should consult with their tax advisors regarding the possible implications of FATCA on their investment in our Class A common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Citigroup Global Markets Inc., J.P. Morgan Securities LLC and Goldman Sachs &amp; Co. LLC are acting as representatives, have severally agreed to purchase, and we have agreed to sell to them, severally, the number of shares of Class A common stock indicated below:</w:t>
      </w:r>
    </w:p>
    <w:p>
      <w:pPr>
        <w:spacing w:after="0" w:line="19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940" w:type="dxa"/>
            <w:vAlign w:val="bottom"/>
            <w:vMerge w:val="restart"/>
          </w:tcPr>
          <w:p>
            <w:pPr>
              <w:spacing w:after="0"/>
              <w:rPr>
                <w:sz w:val="14"/>
                <w:szCs w:val="14"/>
                <w:color w:val="auto"/>
              </w:rPr>
            </w:pPr>
          </w:p>
        </w:tc>
        <w:tc>
          <w:tcPr>
            <w:tcW w:w="3540" w:type="dxa"/>
            <w:vAlign w:val="bottom"/>
            <w:gridSpan w:val="3"/>
          </w:tcPr>
          <w:p>
            <w:pPr>
              <w:ind w:left="1700"/>
              <w:spacing w:after="0"/>
              <w:rPr>
                <w:sz w:val="20"/>
                <w:szCs w:val="20"/>
                <w:color w:val="auto"/>
              </w:rPr>
            </w:pPr>
            <w:r>
              <w:rPr>
                <w:rFonts w:ascii="Arial" w:cs="Arial" w:eastAsia="Arial" w:hAnsi="Arial"/>
                <w:sz w:val="14"/>
                <w:szCs w:val="14"/>
                <w:b w:val="1"/>
                <w:bCs w:val="1"/>
                <w:color w:val="auto"/>
                <w:w w:val="94"/>
              </w:rPr>
              <w:t>Number of Shares of Class A</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5,485,714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4,371,428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Goldman Sachs &amp; Co. LLC</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4,285,713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1,457,143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BMO Capital Markets Corp.</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Credit Suisse Securities (USA) LLC</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1,457,143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Stifel, Nicolaus &amp; Company, Incorporated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1,457,143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Wells Fargo Securities, LLC</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1,457,143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Nomura Securities International, Inc.</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137,143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Rabo Securities USA, Inc.</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137,143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3"/>
          </w:tcPr>
          <w:p>
            <w:pPr>
              <w:ind w:left="64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34,285,714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 $0.42 a share under the public offering price. After the initial offering of the shares of Class A common stock, the offering price and other selling terms may from time to time be varied by the representatives. Certain of the underwriters may offer and sell the Class A common stock through one or more of their respective affiliates or selling agents.</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granted to the underwriters an option, exercisable for thirty days from the date of this prospectus, to purchase up to 5,142,857 additional shares of Class A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following tables show the per share and total public offering price, underwriting discounts and commissions, and proceeds before expenses to us. Such amounts are shown assuming both no exercise and full exercise of the underwriters’ option to purchase up to an additional 5,142,857 shares of Class A common stock.</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No Exercise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479,999,996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551,999,994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8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455,999,996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524,399,994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$8.0 million. We have agreed to reimburse the underwriters for expenses relating to clearance of this offering with the Financial Industry Regulatory Authority, or FINRA, up to $30,000.</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received approval to have our Class A common stock approved for listing on the NYSE under the trading symbol “BRBR”.</w:t>
      </w:r>
    </w:p>
    <w:p>
      <w:pPr>
        <w:spacing w:after="0" w:line="225" w:lineRule="exact"/>
        <w:rPr>
          <w:sz w:val="20"/>
          <w:szCs w:val="20"/>
          <w:color w:val="auto"/>
        </w:rPr>
      </w:pPr>
    </w:p>
    <w:p>
      <w:pPr>
        <w:jc w:val="both"/>
        <w:ind w:left="200" w:right="140" w:firstLine="441"/>
        <w:spacing w:after="0" w:line="288" w:lineRule="auto"/>
        <w:rPr>
          <w:sz w:val="20"/>
          <w:szCs w:val="20"/>
          <w:color w:val="auto"/>
        </w:rPr>
      </w:pPr>
      <w:r>
        <w:rPr>
          <w:rFonts w:ascii="Arial" w:cs="Arial" w:eastAsia="Arial" w:hAnsi="Arial"/>
          <w:sz w:val="16"/>
          <w:szCs w:val="16"/>
          <w:color w:val="auto"/>
        </w:rPr>
        <w:t>We and all of our directors, certain of our officers and Post have agreed that, without the prior written consent of the representatives on behalf of the underwriters, we and they will not, during the period ending 180 days after the date of this prospectus, provided, that such restricted period will end ten business days prior to the scheduled closure of our trading window for the first full fiscal quarter completed after the date of this prospectus if</w:t>
      </w:r>
    </w:p>
    <w:p>
      <w:pPr>
        <w:ind w:left="200" w:right="200" w:firstLine="4"/>
        <w:spacing w:after="0" w:line="261" w:lineRule="auto"/>
        <w:tabs>
          <w:tab w:leader="none" w:pos="4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restricted period ends during or within ten business days prior to the scheduled closure of such trading window and (B) such restricted period will end at least 120 days after the date of this prospectus, which we refer to as the “restricted period”:</w:t>
      </w:r>
    </w:p>
    <w:p>
      <w:pPr>
        <w:spacing w:after="0" w:line="89" w:lineRule="exact"/>
        <w:rPr>
          <w:rFonts w:ascii="Arial" w:cs="Arial" w:eastAsia="Arial" w:hAnsi="Arial"/>
          <w:sz w:val="18"/>
          <w:szCs w:val="18"/>
          <w:color w:val="auto"/>
        </w:rPr>
      </w:pPr>
    </w:p>
    <w:p>
      <w:pPr>
        <w:ind w:left="1180" w:right="100" w:hanging="544"/>
        <w:spacing w:after="0" w:line="264"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jc w:val="both"/>
        <w:ind w:left="200" w:right="640" w:firstLine="441"/>
        <w:spacing w:after="0" w:line="342" w:lineRule="auto"/>
        <w:rPr>
          <w:sz w:val="20"/>
          <w:szCs w:val="20"/>
          <w:color w:val="auto"/>
        </w:rPr>
      </w:pPr>
      <w:r>
        <w:rPr>
          <w:rFonts w:ascii="Arial" w:cs="Arial" w:eastAsia="Arial" w:hAnsi="Arial"/>
          <w:sz w:val="16"/>
          <w:szCs w:val="16"/>
          <w:color w:val="auto"/>
        </w:rPr>
        <w:t>The restrictions in the immediately preceding paragraph do not apply to our directors, officers or other holders of our outstanding Class A common stock or other securities who are parties to the lock-up agreements in certain circumstances including, but not limited to, the following:</w:t>
      </w:r>
    </w:p>
    <w:p>
      <w:pPr>
        <w:spacing w:after="0" w:line="29" w:lineRule="exact"/>
        <w:rPr>
          <w:sz w:val="20"/>
          <w:szCs w:val="20"/>
          <w:color w:val="auto"/>
        </w:rPr>
      </w:pPr>
    </w:p>
    <w:p>
      <w:pPr>
        <w:ind w:left="5580" w:right="2340" w:hanging="4944"/>
        <w:spacing w:after="0" w:line="449" w:lineRule="auto"/>
        <w:tabs>
          <w:tab w:leader="none" w:pos="11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distributions of common stock or BellRing Brands, LLC Units to a party’s limited partners or stockholders; 176</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transfers of common stock or BellRing Brands, LLC Units to any trust for the direct or indirect benefit of the party or his or her immediate family;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w:t>
      </w:r>
    </w:p>
    <w:p>
      <w:pPr>
        <w:spacing w:after="0" w:line="142" w:lineRule="exact"/>
        <w:rPr>
          <w:rFonts w:ascii="Arial" w:cs="Arial" w:eastAsia="Arial" w:hAnsi="Arial"/>
          <w:sz w:val="17"/>
          <w:szCs w:val="17"/>
          <w:color w:val="auto"/>
        </w:rPr>
      </w:pPr>
    </w:p>
    <w:p>
      <w:pPr>
        <w:jc w:val="both"/>
        <w:ind w:left="1180" w:right="180" w:hanging="544"/>
        <w:spacing w:after="0" w:line="264"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surrenders of common stock or BellRing Brands, LLC Units to the Company in payment of the exercise price of any options to purchase common stock or BellRing Brands, LLC Units, or withholdings in respect of tax obligations of common stock or BellRing Brands, LLC Units which were issuable upon such exercise;</w:t>
      </w:r>
    </w:p>
    <w:p>
      <w:pPr>
        <w:spacing w:after="0" w:line="86" w:lineRule="exact"/>
        <w:rPr>
          <w:rFonts w:ascii="Arial" w:cs="Arial" w:eastAsia="Arial" w:hAnsi="Arial"/>
          <w:sz w:val="18"/>
          <w:szCs w:val="18"/>
          <w:color w:val="auto"/>
        </w:rPr>
      </w:pPr>
    </w:p>
    <w:p>
      <w:pPr>
        <w:ind w:left="1180" w:right="600" w:hanging="544"/>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sales or dispositions of shares of common stock solely for the purpose of sufficiently covering tax obligations which arise from the exercise or vesting of stock options or restricted stock units;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offers and sales of common stock pursuant to this offering;</w:t>
      </w:r>
    </w:p>
    <w:p>
      <w:pPr>
        <w:spacing w:after="0" w:line="130"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recapitalization of the Company’s capital stock into shares of Class A common stock and one share of Class B common stock, and the redemption of BellRing Brands, LLC Units in exchange for shares of Class A common stock;</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transfers of common stock or BellRing Brands, LLC Units acquired in open market transactions after the completion of this offering; or</w:t>
      </w:r>
    </w:p>
    <w:p>
      <w:pPr>
        <w:spacing w:after="0" w:line="153" w:lineRule="exact"/>
        <w:rPr>
          <w:rFonts w:ascii="Arial" w:cs="Arial" w:eastAsia="Arial" w:hAnsi="Arial"/>
          <w:sz w:val="16"/>
          <w:szCs w:val="16"/>
          <w:color w:val="auto"/>
        </w:rPr>
      </w:pPr>
    </w:p>
    <w:p>
      <w:pPr>
        <w:ind w:left="1180" w:right="440" w:hanging="544"/>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offers or transfers of common stock pursuant to a bona fide third-party tender offer, merger, consolidation or similar transaction to all holders of the Company’s capital stock involving a change of control of the Company.</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lock-up restrictions described above do not apply to us with respect to certain transactions, including issuances (or contemplated issuances) of common stock (including securities convertible into or exercisable or exchangeable for common stock) in connection with an acquisition or strategic or minority investment transaction.</w:t>
      </w:r>
    </w:p>
    <w:p>
      <w:pPr>
        <w:spacing w:after="0" w:line="18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Morgan Stanley &amp; Co. LLC, Citigroup Global Markets Inc., J.P. Morgan Securities LLC and Goldman Sachs &amp; Co. LLC, in their sole discretion, may release the common stock and other securities subject to the lock-up agreements described above in whole or in part at any time. When determining whether or not to release our Class A common stock and other securities from lock-up agreements, Morgan Stanley &amp; Co. LLC, Citigroup Global Markets Inc., J.P. Morgan Securities LLC and Goldman Sachs &amp; Co. LLC will consider, among other factors, the holder’s reasons for requesting the release, the number of shares for which the release is being requested and market conditions at the time of the request. In the event of such release or waiver for one of our directors or officers, Morgan Stanley &amp; Co. LLC, Citigroup Global Markets Inc., J.P. Morgan Securities LLC and Goldman Sachs</w:t>
      </w:r>
    </w:p>
    <w:p>
      <w:pPr>
        <w:spacing w:after="0" w:line="5" w:lineRule="exact"/>
        <w:rPr>
          <w:sz w:val="20"/>
          <w:szCs w:val="20"/>
          <w:color w:val="auto"/>
        </w:rPr>
      </w:pPr>
    </w:p>
    <w:p>
      <w:pPr>
        <w:ind w:left="200" w:right="100" w:firstLine="4"/>
        <w:spacing w:after="0" w:line="255" w:lineRule="auto"/>
        <w:tabs>
          <w:tab w:leader="none" w:pos="3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 LLC shall provide us with notice of the impending release or waiver at least three business days before the effective date of such release or waiver and we will announce the impending release or waiver by issuing a press release through a major news service at least two business days before the effective date of the release or waiver.</w:t>
      </w:r>
    </w:p>
    <w:p>
      <w:pPr>
        <w:spacing w:after="0" w:line="19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also may sell shares in excess of the option to purchase additional shares, creating a naked short position. The underwriters must close out any naked short position by purchasing shares in the open market. A</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naked short position is more likely to be created if the underwriters are concerned that there may be downward pressure on the price of the Class A common stock in the open market after pricing that could adversely affect investors who purchase shares of Class A common stock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the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Affiliates of Morgan Stanley &amp; Co. LLC, Citigroup Global Markets Inc., J.P. Morgan Securities LLC, Goldman Sachs &amp; Co. LLC, BofA Securities, Inc. and Credit Suisse Securities (USA) LLC, each of which is an underwriter in this offering, are lenders under the Post bridge loan. The proceeds received by BellRing Brands, LLC from its sale of BellRing Brands, LLC Units will be used to repay a portion of the Post bridge loan and related interest.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Barclays Capital Inc. has agreed to act as qualified independent underwriter for the offering and to undertake the legal responsibilities and liabilities of an underwriter under the Securities Act, specifically including those inherent in Section 11 of the Securities Act. We will agree to indemnify Barclays Capital Inc. against liabilities incurred in connection with acting as qualified independent underwriter, including liabilities under the Securities Act. Moreover, none of Morgan Stanley &amp; Co. LLC, Citigroup Global Markets Inc., J.P. Morgan Securities LLC, Goldman Sachs &amp; Co. LLC, BofA Securities, Inc. and Credit Suisse Securities (USA) LLC is permitted to sell Class A common stock in this offering to an account over which it exercises discretionary authority without the prior specific written approval of the account holder.</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views in respect of such securities or instruments and may at any time hold, or recommend to clients that they acquire, long or short positions in such securities and instruments.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Furthermore, affiliates of Morgan Stanley &amp; Co. LLC, Citigroup Global Markets Inc., J.P. Morgan Securities LLC, Goldman Sachs &amp; Co. LLC, BofA Securities, Inc., Barclays Capital Inc., BMO Capital Markets Corp., Credit Suisse Securities (USA) LLC, SunTrust Robinson Humphrey, Inc., Wells Fargo Securities, LLC, Nomura Securities International, Inc., Rabo Securities USA, Inc. and UBS Securities LLC, each of which is acting as an underwriter in this offering, will act as joint lead arrangers or co-managers under a new term loan facility and a revolving credit facility that we expect to enter in connection with this offering.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of our Class A common stock was determined through negotiations among us, Post and the underwriters.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Post nor the underwriters can assure investors that an active trading market for the shares will develop, or that after the offering the shares will trade in the public market at or above the initial public offering price.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Directive:</w:t>
      </w:r>
    </w:p>
    <w:p>
      <w:pPr>
        <w:spacing w:after="0" w:line="52" w:lineRule="exact"/>
        <w:rPr>
          <w:sz w:val="20"/>
          <w:szCs w:val="20"/>
          <w:color w:val="auto"/>
        </w:rPr>
      </w:pPr>
    </w:p>
    <w:p>
      <w:pPr>
        <w:ind w:left="1180" w:hanging="544"/>
        <w:spacing w:after="0"/>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placement agent of a prospectus pursuant to Article 3 of the Prospectus Directive.</w:t>
      </w:r>
    </w:p>
    <w:p>
      <w:pPr>
        <w:spacing w:after="0" w:line="170"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For the purposes of this provision, the expression of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the U.K., this prospectus is only addressed to and directed at qualified investors who are: (i) investment professionals falling within Article 19(5) of the Financial Services and Markets Act 2000 (Financial Promotion)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Order 2005 (the “Order”); or (ii) high-net-worth entities and other persons to whom it may lawfully be communicated, falling within Article 49(2)(a) to</w:t>
      </w:r>
    </w:p>
    <w:p>
      <w:pPr>
        <w:spacing w:after="0" w:line="46" w:lineRule="exact"/>
        <w:rPr>
          <w:sz w:val="20"/>
          <w:szCs w:val="20"/>
          <w:color w:val="auto"/>
        </w:rPr>
      </w:pPr>
    </w:p>
    <w:p>
      <w:pPr>
        <w:ind w:left="200" w:firstLine="4"/>
        <w:spacing w:after="0" w:line="255" w:lineRule="auto"/>
        <w:tabs>
          <w:tab w:leader="none" w:pos="4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w:t>
      </w:r>
    </w:p>
    <w:p>
      <w:pPr>
        <w:spacing w:after="0" w:line="15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this offering, us or the shares has been or will be filed with or approved by any Swiss regulatory authority. In particular, this prospectus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who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with respect to these rights or consult with a legal advisor.</w:t>
      </w:r>
    </w:p>
    <w:p>
      <w:pPr>
        <w:spacing w:after="0" w:line="15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that do not constitute an offer to the public within the meaning of the Companies (Winding Up and Miscellaneous Provisions) Ordinance (Cap. 32 of the Laws of Hong Kong) (“Companies (Winding Up and Miscellaneous Provisions) Ordinance”) or that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securities laws of Hong Kong) other than with respect to shares that are, or are intended to be, disposed of only to persons outside of Hong Kong or “professional investors” in Hong Kong.</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ind w:left="200" w:right="300" w:firstLine="4"/>
        <w:spacing w:after="0" w:line="261" w:lineRule="auto"/>
        <w:tabs>
          <w:tab w:leader="none" w:pos="5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8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(that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that is a trust (where the trustee is not an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six months after that trust has acquired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under Section 275 of the SFA, except: (i) to an institutional investor under Section 274 of the SFA or to a relevant person (as defined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275(2) of the SFA); (ii) where such transfer arises from an offer that is made on terms that such rights or interest are acquired for consideration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or other assets); (iii) where no consideration is or will be given for the transfer; (iv) where the transfer is by operation of law; (v) as specified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Section 276(7) of the SFA; or (vi) as specified in Regulation 32.</w:t>
      </w:r>
    </w:p>
    <w:p>
      <w:pPr>
        <w:spacing w:after="0" w:line="21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Solely for the purposes of its obligations pursuant to Sections 309B(1)(a) and 309B(1)(c) of the SFA, the Company has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validity of the Class A common stock offered hereby and certain other legal matters in connection with this offering will be passed upon for us by Lewis Rice LLC. Certain legal matters in connection with this offering will be passed upon for the underwriters by Latham &amp; Watkins LLP. Lewis Rice LLC has from time to time represented and may continue to represent Post and some of its affiliates in connection with various legal matters.</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balance sheet of BellRing Brands, Inc. as of August 7, 2019 included in this prospectus has been so included in reliance on the report of PricewaterhouseCoopers LLP, an independent registered public accounting firm, given on the authority of said firm as experts in auditing and accounting.</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financial statements of Post’s Active Nutrition business as of September 30, 2018 and 2017 and for each of the three years in the period ended September 30, 2018 included in this prospectus have been so included in reliance on the report of PricewaterhouseCoopers LLP, an independent registered public accounting firm, given on the authority of said firm as experts in auditing and accounting.</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BellRing Brands, Inc. has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part of the registration statement. Statements contained in this prospectus concerning the contents of any contract or any other document are not necessarily complete, and each such statement is qualified in all respects by reference to the full text of such contract or other document filed as an exhibit to the registration statement.</w:t>
      </w:r>
    </w:p>
    <w:p>
      <w:pPr>
        <w:spacing w:after="0" w:line="18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 Our filings with the SEC, including the registration statement, are available to you for free on the SEC’s internet website.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completion of this offering, BellRing Brands, Inc. will become subject to the informational and reporting requirements of the Exchange Act and, in accordance with those requirements, will file reports and proxy and information statements with the SEC. BellRing Brands, Inc. intends to furnish to its stockholders its annual reports containing audited combined financial statements and the notes thereto certified by an independent public accounting firm.</w:t>
      </w:r>
    </w:p>
    <w:p>
      <w:pPr>
        <w:spacing w:after="0" w:line="187" w:lineRule="exact"/>
        <w:rPr>
          <w:sz w:val="20"/>
          <w:szCs w:val="20"/>
          <w:color w:val="auto"/>
        </w:rPr>
      </w:pPr>
    </w:p>
    <w:p>
      <w:pPr>
        <w:jc w:val="center"/>
        <w:ind w:left="280" w:right="600"/>
        <w:spacing w:after="0" w:line="449" w:lineRule="auto"/>
        <w:rPr>
          <w:sz w:val="20"/>
          <w:szCs w:val="20"/>
          <w:color w:val="auto"/>
        </w:rPr>
      </w:pPr>
      <w:r>
        <w:rPr>
          <w:rFonts w:ascii="Arial" w:cs="Arial" w:eastAsia="Arial" w:hAnsi="Arial"/>
          <w:sz w:val="18"/>
          <w:szCs w:val="18"/>
          <w:color w:val="auto"/>
        </w:rPr>
        <w:t>We also maintain an internet website at www.bellring.com. Information on or accessible through our website is not part of this prospectus. 183</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Contents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BELLRING BRANDS,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196">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97">
              <w:r>
                <w:rPr>
                  <w:rFonts w:ascii="Arial" w:cs="Arial" w:eastAsia="Arial" w:hAnsi="Arial"/>
                  <w:sz w:val="18"/>
                  <w:szCs w:val="18"/>
                  <w:color w:val="0000EE"/>
                  <w:w w:val="88"/>
                </w:rPr>
                <w:t>Balance Sheet as of August 7, 2019</w:t>
              </w:r>
            </w:hyperlink>
          </w:p>
        </w:tc>
        <w:tc>
          <w:tcPr>
            <w:tcW w:w="1660" w:type="dxa"/>
            <w:vAlign w:val="bottom"/>
            <w:tcBorders>
              <w:top w:val="single" w:sz="8" w:color="0000EE"/>
            </w:tcBorders>
            <w:gridSpan w:val="7"/>
          </w:tcPr>
          <w:p>
            <w:pPr>
              <w:spacing w:after="0"/>
              <w:rPr>
                <w:sz w:val="17"/>
                <w:szCs w:val="17"/>
                <w:color w:val="auto"/>
              </w:rPr>
            </w:pPr>
          </w:p>
        </w:tc>
        <w:tc>
          <w:tcPr>
            <w:tcW w:w="63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98">
              <w:r>
                <w:rPr>
                  <w:rFonts w:ascii="Arial" w:cs="Arial" w:eastAsia="Arial" w:hAnsi="Arial"/>
                  <w:sz w:val="18"/>
                  <w:szCs w:val="18"/>
                  <w:color w:val="0000EE"/>
                  <w:w w:val="87"/>
                </w:rPr>
                <w:t>Notes to Balance Sheet</w:t>
              </w:r>
            </w:hyperlink>
          </w:p>
        </w:tc>
        <w:tc>
          <w:tcPr>
            <w:tcW w:w="89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ACTIVE NUTRITION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Combined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Fiscal Years Ended September 30, 2018, 2017 and 2016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199">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Combined Statements of Operations and Comprehensive Income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01">
              <w:r>
                <w:rPr>
                  <w:rFonts w:ascii="Arial" w:cs="Arial" w:eastAsia="Arial" w:hAnsi="Arial"/>
                  <w:sz w:val="18"/>
                  <w:szCs w:val="18"/>
                  <w:color w:val="0000EE"/>
                  <w:w w:val="88"/>
                </w:rPr>
                <w:t>Combined Balance Sheets</w:t>
              </w:r>
            </w:hyperlink>
          </w:p>
        </w:tc>
        <w:tc>
          <w:tcPr>
            <w:tcW w:w="2780" w:type="dxa"/>
            <w:vAlign w:val="bottom"/>
            <w:tcBorders>
              <w:top w:val="single" w:sz="8" w:color="0000EE"/>
            </w:tcBorders>
            <w:gridSpan w:val="10"/>
          </w:tcPr>
          <w:p>
            <w:pPr>
              <w:spacing w:after="0"/>
              <w:rPr>
                <w:sz w:val="17"/>
                <w:szCs w:val="17"/>
                <w:color w:val="auto"/>
              </w:rPr>
            </w:pPr>
          </w:p>
        </w:tc>
        <w:tc>
          <w:tcPr>
            <w:tcW w:w="59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Combined Statements of Cash Flows</w:t>
              </w:r>
            </w:hyperlink>
          </w:p>
        </w:tc>
        <w:tc>
          <w:tcPr>
            <w:tcW w:w="79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03">
              <w:r>
                <w:rPr>
                  <w:rFonts w:ascii="Arial" w:cs="Arial" w:eastAsia="Arial" w:hAnsi="Arial"/>
                  <w:sz w:val="18"/>
                  <w:szCs w:val="18"/>
                  <w:color w:val="0000EE"/>
                  <w:w w:val="90"/>
                </w:rPr>
                <w:t>Combined Statements of Parent Company Equity</w:t>
              </w:r>
            </w:hyperlink>
          </w:p>
        </w:tc>
        <w:tc>
          <w:tcPr>
            <w:tcW w:w="70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Notes to Combined Financial Statements</w:t>
              </w:r>
            </w:hyperlink>
          </w:p>
        </w:tc>
        <w:tc>
          <w:tcPr>
            <w:tcW w:w="76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Nine Months Ended June 30, 2019 and 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219">
              <w:r>
                <w:rPr>
                  <w:rFonts w:ascii="Arial" w:cs="Arial" w:eastAsia="Arial" w:hAnsi="Arial"/>
                  <w:sz w:val="18"/>
                  <w:szCs w:val="18"/>
                  <w:color w:val="0000EE"/>
                </w:rPr>
                <w:t>Condensed Combined Statements of Operations and Comprehensive Income</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20">
              <w:r>
                <w:rPr>
                  <w:rFonts w:ascii="Arial" w:cs="Arial" w:eastAsia="Arial" w:hAnsi="Arial"/>
                  <w:sz w:val="18"/>
                  <w:szCs w:val="18"/>
                  <w:color w:val="0000EE"/>
                  <w:w w:val="87"/>
                </w:rPr>
                <w:t>Condensed Combined Balance Sheets</w:t>
              </w:r>
            </w:hyperlink>
          </w:p>
        </w:tc>
        <w:tc>
          <w:tcPr>
            <w:tcW w:w="2780" w:type="dxa"/>
            <w:vAlign w:val="bottom"/>
            <w:tcBorders>
              <w:top w:val="single" w:sz="8" w:color="0000EE"/>
            </w:tcBorders>
            <w:gridSpan w:val="8"/>
          </w:tcPr>
          <w:p>
            <w:pPr>
              <w:spacing w:after="0"/>
              <w:rPr>
                <w:sz w:val="17"/>
                <w:szCs w:val="17"/>
                <w:color w:val="auto"/>
              </w:rPr>
            </w:pPr>
          </w:p>
        </w:tc>
        <w:tc>
          <w:tcPr>
            <w:tcW w:w="50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1">
              <w:r>
                <w:rPr>
                  <w:rFonts w:ascii="Arial" w:cs="Arial" w:eastAsia="Arial" w:hAnsi="Arial"/>
                  <w:sz w:val="18"/>
                  <w:szCs w:val="18"/>
                  <w:color w:val="0000EE"/>
                  <w:w w:val="88"/>
                </w:rPr>
                <w:t>Condensed Combined Statements of Cash Flows</w:t>
              </w:r>
            </w:hyperlink>
          </w:p>
        </w:tc>
        <w:tc>
          <w:tcPr>
            <w:tcW w:w="7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Condensed 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Notes to Condensed Combined Financial Statements</w:t>
              </w:r>
            </w:hyperlink>
          </w:p>
        </w:tc>
        <w:tc>
          <w:tcPr>
            <w:tcW w:w="61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1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Statement—Balance Sheet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have audited the accompanying balance sheet of BellRing Brands, Inc. (the “Company”) as of August 7, 2019, including the related notes (collectively referred to as the “financial statement”). In our opinion, the financial statement presents fairly, in all material respects, the financial position of the Company as of August 7, 2019 in conformity with accounting principles generally accepted in the United States of America.</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We conducted our audit of this financial statement in accordance with the standards of the PCAOB. Those standards require that we plan and perform the audit to obtain reasonable assurance about whether the financial statement is free of material misstatement, whether due to error or fraud.</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8,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BELLRING BRANDS, INC.</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BALANCE SHEET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62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 in millions, except per share data)</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August 7,</w:t>
            </w: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Common Stock, par value $0.01 per share, 1,000 shares authorized and outstanding</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Balance Sheet.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BellRing Brands, Inc. (the “Corporation”) was formed as a Delaware corporation on March 20, 2019 for the purpose of completing a public offering and related transactions in order to carry on the Active Nutrition business of Post Holdings, Inc. The Corporation had no operations through the submission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i w:val="1"/>
          <w:iCs w:val="1"/>
          <w:color w:val="auto"/>
        </w:rPr>
        <w:t>Basis of Accounting</w:t>
      </w:r>
      <w:r>
        <w:rPr>
          <w:rFonts w:ascii="Arial" w:cs="Arial" w:eastAsia="Arial" w:hAnsi="Arial"/>
          <w:sz w:val="18"/>
          <w:szCs w:val="18"/>
          <w:color w:val="auto"/>
        </w:rPr>
        <w:t>—The balance sheet is presented in accordance with accounting principles generally accepted in the United States.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3—STOCKHOLDERS’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is authorized to issue 1,000 shares of common stock, par value $0.01 per share, all of which are issued and outstanding.</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460"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combined balance sheets of Active Nutrition (the combination of Premier Nutrition Corporation, Dymatize Enterprises, LLC and Active Nutrition International GmbH of Post Holdings, Inc.) (the “Company”) as of September 30, 2018 and 2017, and the related combined statements of operations and comprehensive income, of parent company equity and of cash flows for each of the three years in the period ended September 30, 2018, including the related notes (collectively referred to as the “combined financial statements”). In our opinion, the combined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80"/>
          </w:cols>
          <w:pgMar w:left="240" w:top="460"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467.4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Parent Company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484.4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Non-cash allocated expense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Decrease (increase) in 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in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(decrease) in non-current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Proceeds from sale of property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parent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(133.0)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PARENT COMPANY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Parent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Comprehensive</w:t>
            </w:r>
          </w:p>
        </w:tc>
        <w:tc>
          <w:tcPr>
            <w:tcW w:w="32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3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2016</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453.1</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November 15, 2018, Post Holdings, Inc. (“Post”) announced that Post’s Board of Directors approved a plan to separate its Active Nutrition business (herein referred to as “Active Nutrition” or “the Company”) into a distinct, publicly traded company.</w:t>
      </w:r>
    </w:p>
    <w:p>
      <w:pPr>
        <w:spacing w:after="0" w:line="1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In connection with this offering, BellRing Brands, Inc. was formed as a Delaware corporation on March 20, 2019. BellRing Brands, Inc. and Post intend to complete a series of formation transactions, whereby Active Nutrition will be transferred to BellRing Brands, LLC, a subsidiary of BellRing Brands, Inc. Active Nutrition is comprised of Premier Nutrition Corporation (“Premier Nutrition”), which Post acquired in fiscal 2013; Dymatize Enterprises, LLC (“Dymatize”), which Post acquired in fiscal 2014; and the assets related to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t>
      </w:r>
      <w:r>
        <w:rPr>
          <w:rFonts w:ascii="Arial" w:cs="Arial" w:eastAsia="Arial" w:hAnsi="Arial"/>
          <w:sz w:val="17"/>
          <w:szCs w:val="17"/>
          <w:i w:val="1"/>
          <w:iCs w:val="1"/>
          <w:color w:val="auto"/>
        </w:rPr>
        <w:t>PowerBar</w:t>
      </w:r>
      <w:r>
        <w:rPr>
          <w:rFonts w:ascii="Arial" w:cs="Arial" w:eastAsia="Arial" w:hAnsi="Arial"/>
          <w:sz w:val="17"/>
          <w:szCs w:val="17"/>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2018 and 2017, there were no shares of common or preferred stock of the Company authorized or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—These combined financial statements have been prepared on a stand-alone basis and are derived from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Combined Statements of Cash Flows as a financing activity and on the Combined Balance Sheets as “Net parent investment.”</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Use of Estimates and Allocations</w:t>
      </w:r>
      <w:r>
        <w:rPr>
          <w:rFonts w:ascii="Arial" w:cs="Arial" w:eastAsia="Arial" w:hAnsi="Arial"/>
          <w:sz w:val="17"/>
          <w:szCs w:val="17"/>
          <w:color w:val="auto"/>
        </w:rPr>
        <w:t>—The combined financial statements of the Company are prepared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1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uses the acquisition method of accounting for acquired businesses. Under the acquisition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reflect the operations of an acquired business starting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from the completion of the acquisition. The assets acquired and liabilities assumed are recorded at their respective estimated fair values at the date of the acquisition. Any excess of the purchase price over the estimated fair values of the identifiable net assets acquired is recorded as goodwill.</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include all highly liquid investments with original maturities of less than three months.</w:t>
      </w:r>
    </w:p>
    <w:p>
      <w:pPr>
        <w:spacing w:after="0" w:line="225"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Receivables are reported at net realizable value. This value includes appropriate allowances for doubtful accounts, cash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generally valued at the lower of average cost (determined on a first-in, first-out basis) or net realizable value</w:t>
      </w:r>
      <w:r>
        <w:rPr>
          <w:rFonts w:ascii="Arial" w:cs="Arial" w:eastAsia="Arial" w:hAnsi="Arial"/>
          <w:sz w:val="18"/>
          <w:szCs w:val="18"/>
          <w:i w:val="1"/>
          <w:iCs w:val="1"/>
          <w:color w:val="auto"/>
        </w:rPr>
        <w:t xml:space="preserve"> </w:t>
      </w:r>
      <w:r>
        <w:rPr>
          <w:rFonts w:ascii="Arial" w:cs="Arial" w:eastAsia="Arial" w:hAnsi="Arial"/>
          <w:sz w:val="18"/>
          <w:szCs w:val="18"/>
          <w:color w:val="auto"/>
        </w:rPr>
        <w:t>(“NRV”). Reported amounts have been reduced by a write-down for obsolete product and packaging materials based on a review of inventories on hand compared to estimated future usage and sales.</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—Restructuring charges principally consist of severance. The Company recognizes restructuring obligations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exit and disposal activities at fair value in the period the liability is incurred. Employee severance costs are expensed when they become probable and reasonably estimable under established severance plans. See Note 4 for information about restructuring expenses.</w:t>
      </w:r>
    </w:p>
    <w:p>
      <w:pPr>
        <w:spacing w:after="0" w:line="166"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i w:val="1"/>
          <w:iCs w:val="1"/>
          <w:color w:val="auto"/>
        </w:rPr>
        <w:t>Held for Sale Assets</w:t>
      </w:r>
      <w:r>
        <w:rPr>
          <w:rFonts w:ascii="Arial" w:cs="Arial" w:eastAsia="Arial" w:hAnsi="Arial"/>
          <w:sz w:val="16"/>
          <w:szCs w:val="16"/>
          <w:color w:val="auto"/>
        </w:rPr>
        <w:t>—Assets are classified as held for sale if the Company has committed to a plan for selling the assets, is actively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marketing them and the sale of such assets is reasonably expected within one year. See Note 4 for information about assets held for sale.</w:t>
      </w:r>
    </w:p>
    <w:p>
      <w:pPr>
        <w:spacing w:after="0" w:line="124"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Property</w:t>
      </w:r>
      <w:r>
        <w:rPr>
          <w:rFonts w:ascii="Arial" w:cs="Arial" w:eastAsia="Arial" w:hAnsi="Arial"/>
          <w:sz w:val="17"/>
          <w:szCs w:val="17"/>
          <w:color w:val="auto"/>
        </w:rPr>
        <w:t>—Property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1 to 10 years for machinery and equipment; 1 to 30 years for buildings, building improvements and leasehold improvements; and 1 to 5 years for software. Total depreciation expense was $3.1, $2.5 and $2.2 in fiscal 2018, 2017 and 2016, respectively. Any gains and losses incurred on the sale or disposal of assets are included in “Other operating expenses, net”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September 30,</w:t>
            </w: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—Other intangible assets consist primarily of definite-lived customer relationships and trademarks and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related to definite-lived intangible assets, which is provided 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 straight-line basis (as it approximates the economic benefit) over the estimated useful lives of the assets, was $22.8 in each of fiscal 2018, 2017 and 2016. For the definite-lived intangible assets recorded as of September 30, 2018, amortization expense of $22.2 is expected in each of the next five fiscal years. Other intangible assets consisted of:</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left="314"/>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September 30, 2017</w:t>
            </w: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Accum.</w:t>
            </w: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9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Accum.</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Amort.</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Amort.</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Trademarks and brands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Recoverability of Assets</w:t>
      </w:r>
      <w:r>
        <w:rPr>
          <w:rFonts w:ascii="Arial" w:cs="Arial" w:eastAsia="Arial" w:hAnsi="Arial"/>
          <w:sz w:val="18"/>
          <w:szCs w:val="18"/>
          <w:color w:val="auto"/>
        </w:rPr>
        <w:t>—The Company continually evaluates whether events or circumstances have occurred which might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recoverability of the carrying value of its assets, including property, identifiable intangibles and goodwill.</w:t>
      </w:r>
    </w:p>
    <w:p>
      <w:pPr>
        <w:spacing w:after="0" w:line="17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Net Parent Investment</w:t>
      </w:r>
      <w:r>
        <w:rPr>
          <w:rFonts w:ascii="Arial" w:cs="Arial" w:eastAsia="Arial" w:hAnsi="Arial"/>
          <w:sz w:val="18"/>
          <w:szCs w:val="18"/>
          <w:color w:val="auto"/>
        </w:rPr>
        <w:t>—Net parent investment in the Combined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segment, its accumulated net income and the net effect of the transactions with and allocations from Post.</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—Revenue is recognized when title of goods and risk of loss is transferred to the customer, as specified by the shipping terms.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15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—Cost of goods sold includes, among other things, inbound and outbound freight costs and depreciation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used in production, while storage and other warehousing costs are included in “Selling, general and administrative expenses” in the Combined Statements of Operations and Comprehensive Income. Storage and other warehousing costs totaled $11.8, $12.0 and $10.6 in fiscal 2018, 2017 and 2016, respectively.</w:t>
      </w:r>
    </w:p>
    <w:p>
      <w:pPr>
        <w:spacing w:after="0" w:line="18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Advertising</w:t>
      </w:r>
      <w:r>
        <w:rPr>
          <w:rFonts w:ascii="Arial" w:cs="Arial" w:eastAsia="Arial" w:hAnsi="Arial"/>
          <w:sz w:val="17"/>
          <w:szCs w:val="17"/>
          <w:color w:val="auto"/>
        </w:rPr>
        <w:t>—Advertising costs are expensed as incurred, except for costs of producing media advertising such as television commercials or</w:t>
      </w:r>
      <w:r>
        <w:rPr>
          <w:rFonts w:ascii="Arial" w:cs="Arial" w:eastAsia="Arial" w:hAnsi="Arial"/>
          <w:sz w:val="17"/>
          <w:szCs w:val="17"/>
          <w:i w:val="1"/>
          <w:iCs w:val="1"/>
          <w:color w:val="auto"/>
        </w:rPr>
        <w:t xml:space="preserve"> </w:t>
      </w:r>
      <w:r>
        <w:rPr>
          <w:rFonts w:ascii="Arial" w:cs="Arial" w:eastAsia="Arial" w:hAnsi="Arial"/>
          <w:sz w:val="17"/>
          <w:szCs w:val="17"/>
          <w:color w:val="auto"/>
        </w:rPr>
        <w:t>magazine advertisements, which are deferred until the first time the advertising takes place. The amounts reported as assets on the Combined Balance Sheets as “Prepaid expenses and other current assets” were immaterial as of September 30, 2018 and 2017.</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Company’s employees have historically participated in Post’s stock-based compensation plans.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has been allocated to the Company based on the awards and terms previously granted to its employees. All awards outstanding under Post’s stock-based compensation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award—the requisite service period (usually the vesting period). See Note 12 for disclosures related to stock-based compensation.</w:t>
      </w:r>
    </w:p>
    <w:p>
      <w:pPr>
        <w:spacing w:after="0" w:line="15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—Income tax expense is estimated based on income taxes in each jurisdiction and includes the effects of both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3—Recently Issued and Adopted Accounting Standards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“Intangibles— Goodwill and Other—Internal-Use Software (Subtopic 350-40): Customer’s Accounting for Implementation Costs Incurred in a Cloud Computing Arrangement that is a Service Contract.” This ASU largely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The Company early adopted this ASU on October 1, 2018, in fiscal 2019, on a prospective basis, as permitted by the standard. This change did not have a material impact on the Company’s financial statements.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assets and lease liabilities with terms greater than one year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standard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expanded disclosures to present additional information related to its leasing arrangements.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which will supersede all existing revenue recognition guidance under GAAP. This ASU’s core principle is that a company will recognize revenue when it transfers promised goods or services to a customer in an amount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reflects the consideration to which the company expects to be entitled in exchange for those goods or services. The ASU also calls for additional disclosures around the nature, amount, timing and uncertainty of revenue and cash flows arising from contracts with customers. The Company adopted this ASU on October 1, 2018, in fiscal 2019, and will use the modified retrospective transition method of adoption. The adoption will not have a material impact on the Company’s financial statements as the impact of this ASU will be limited to classification changes of immaterial amounts within the statement of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eliminates step two of the goodwill impairment test, which requires the calculation of the implied fair value of goodwill to measure a goodwill impairment charge.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The Company early adopted this ASU using a prospective approach during the fourth quarter of fiscal 2017, as permitted by the ASU. The adoption of this ASU resulted in an impairment of goodwill of $26.5 in the Dymatize reporting unit in the year ended September 30, 2017. See Note 5 for further discussion of this impairment.</w:t>
      </w:r>
    </w:p>
    <w:p>
      <w:pPr>
        <w:spacing w:after="0" w:line="16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most inventory to be measured at the lower of cost and NRV, thereby simplifying the previous guidance under which an entity must measure inventory at the lower of cost or market. Market is defined as replacement cost, NRV or NRV less a normal profit margin. This ASU will not apply to inventory that is measured using either the last-in, first-out method or the retail inventory method. The Company adopted this ASU during the first quarter of fiscal 2018. The adoption of this ASU did not have a material impact on the Company’s combined financial statements or related disclosures.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4—Restructuring</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September 2015, the Company announced its plan to close its Dymatize manufacturing facility located in Farmers Branch, Texas and permanently transfer production to third party facilities under co-manufacturing agreements. Plant production ceased in the fourth quarter of fiscal 2015, and the facility was sold in December 2016. No additional restructuring costs were incurred in fiscal 2018 or 2017.</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Amounts related to the restructuring event are shown in the following table. All costs are employee-related and are recognized in “Selling, general and administrative expenses” in the Combined Statement of Operations and Comprehensive Income.</w:t>
      </w:r>
    </w:p>
    <w:p>
      <w:pPr>
        <w:sectPr>
          <w:pgSz w:w="11900" w:h="16838" w:orient="portrait"/>
          <w:cols w:equalWidth="0" w:num="1">
            <w:col w:w="11200"/>
          </w:cols>
          <w:pgMar w:left="240" w:top="460" w:right="459" w:bottom="1440" w:gutter="0" w:footer="0" w:header="0"/>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Charge to expense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Non-cash charges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expected restructuring charge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Cumulative incurred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Remaining expected restructuring charge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80" w:hanging="176"/>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(0.1)</w:t>
      </w:r>
    </w:p>
    <w:p>
      <w:pPr>
        <w:spacing w:after="0" w:line="3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2"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43" w:lineRule="exact"/>
        <w:rPr>
          <w:sz w:val="20"/>
          <w:szCs w:val="20"/>
          <w:color w:val="auto"/>
        </w:rPr>
      </w:pPr>
    </w:p>
    <w:p>
      <w:pPr>
        <w:ind w:left="180" w:hanging="176"/>
        <w:spacing w:after="0"/>
        <w:tabs>
          <w:tab w:leader="none" w:pos="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4.2</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0" w:space="720"/>
            <w:col w:w="480"/>
          </w:cols>
          <w:pgMar w:left="240" w:top="460" w:right="459" w:bottom="1440" w:gutter="0" w:footer="0" w:header="0"/>
          <w:type w:val="continuous"/>
        </w:sectPr>
      </w:pP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Related to the shutdown of manufacturing operations at its Farmers Branch, Texas facility in September 2015, the Company had land and buildings classified as assets held for sale at September 30, 2016. The carrying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value of the assets included in “Prepaid expenses and other current assets” on the Combined Balance Sheet was $5.8 as of September 30, 2016. The fair value of assets held for sale were measured at fair value on a nonrecurring basis based on a third party offer to purchase the assets. The fair value measurement was categorized as Level 3, as the fair values utilized significant unobservable inputs. The land and buildings were sold in December 2016. Held for sale net (gains) and losses of $(0.2) and $4.5 were recorded in fiscal 2017 and 2016, respectively, to adjust the carrying value of the assets to their fair value less estimated selling costs. The net gains and losses were reported as “Other operating expenses, net” on the Combined Statements of Operations and Comprehensive Income.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5—Goodwill</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The changes in the carrying amount of goodwill are noted in the following table.</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20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2017 and September 30, 2018</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2018, 2017 and 2016, the Company elected not to perform a qualitative assessment and instead performed a quantitative impairment test for all three reporting units. At September 30, 2018 and 2017, the $65.9 balance in goodwill on the Combined Balance Sheets was entirely attributable to the Premier Nutrition reporting unit.</w:t>
      </w:r>
    </w:p>
    <w:p>
      <w:pPr>
        <w:spacing w:after="0" w:line="16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 ended September 30, 2016, the Company concluded that there was no impairment of goodwill. With the exception of the Dymatize reporting unit, all reporting units passed step one of the impairment test. The Dymatize reporting unit failed step one, and accordingly, step two of the analysis was performed as was required prior to the adoption of ASU 2017-04, “Intangibles—Goodwill and Other (Topic 350): Simplifying the Test for Goodwill Impairment” in fiscal 2017. Based on the results of step two, it was determined that the fair value of the goodwill allocated to the Dymatize reporting unit exceeded its carrying value by approximately $36.0 and was therefore not impaired as of September 30, 2016.</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 for income taxes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right="260" w:hanging="436"/>
        <w:spacing w:after="0" w:line="264" w:lineRule="auto"/>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United States (“U.S.”) federal corporate income tax rate of 24.5%. The fiscal 2018 federal corporate income tax rate was impacted by the Tax Cuts and Jobs Act (the “Tax Act”), as discussed below. Fiscal 2017 and 2016 federal corporate income tax was computed at the federal statutory tax rate of 35%.</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Assets</w:t>
            </w:r>
          </w:p>
        </w:tc>
        <w:tc>
          <w:tcPr>
            <w:tcW w:w="120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Assets</w:t>
            </w:r>
          </w:p>
        </w:tc>
        <w:tc>
          <w:tcPr>
            <w:tcW w:w="122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incentive and severance</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Inventory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Property</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(32.6)</w:t>
            </w: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Total deferred taxes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At September 30, 2018, the Company had undistributed earnings of consolidated foreign subsidiaries of $2.3, and the Company intends to indefinitely reinvest undistributed earnings of its foreign subsidiaries. In accordance with the Tax Act, the Company recorded a one-time transition on tax on such earnings during the year ended September 30, 2018, as discussed below.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fiscal 2018, 2017 and 2016, foreign income before income taxes was $1.0, $0.7 and $2.8,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Securities and Exchange Commission issued interpretive guidance regarding the Tax Act, which was codified by ASU 2018-05, “Income Taxes (Topic 740): Amendments to the Securities and Exchange Commission (“SEC”) paragraphs pursuant to SEC Staff Accounting Bulletin No. 118,” in March 2018.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Company’s fiscal 2019 tax year and is prorated with the pre-December 22, 2017 U.S. federal corporate income tax rate of 35% for the Company’s fiscal 2018 tax year. This proration resulted in a blended U.S. federal corporate income tax rate of 24.5% for fiscal 2018. Adjustments were made in the following instances: (i) the Company remeasured its existing deferred tax assets and liabilities considering both the fiscal 2018 blended rate and the 21% rate for future periods and recorded a tax benefit of $9.9 and (ii) the Company calculated the one-time transition tax and recorded tax expense of $0.5. Full expensing of certain depreciable assets will result in a temporary difference and will be analyzed as assets are placed in service.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 Unrecognized tax benefits were $0.5 and $0.6 at September 30, 2018 and 2016, respectively. There were no unrecognized tax benefits recorded by the Company at September 30, 2017.</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8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Pr>
          <w:p>
            <w:pPr>
              <w:spacing w:after="0"/>
              <w:rPr>
                <w:sz w:val="24"/>
                <w:szCs w:val="24"/>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w w:val="98"/>
              </w:rPr>
              <w:t>Unrecognized tax benefits activity for the years ended September 30, 2018 and 2017 is presented in the following table:</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right="300" w:firstLine="441"/>
        <w:spacing w:after="0" w:line="308" w:lineRule="auto"/>
        <w:rPr>
          <w:sz w:val="20"/>
          <w:szCs w:val="20"/>
          <w:color w:val="auto"/>
        </w:rPr>
      </w:pPr>
      <w:r>
        <w:rPr>
          <w:rFonts w:ascii="Arial" w:cs="Arial" w:eastAsia="Arial" w:hAnsi="Arial"/>
          <w:sz w:val="17"/>
          <w:szCs w:val="17"/>
          <w:color w:val="auto"/>
        </w:rPr>
        <w:t>The amount of the net unrecognized tax benefits that, if recognized, would directly affect the effective income tax rate is $0.5 at September 30, 2018. The Company does not believe that any of the $0.5 will be recognized within twelve months of September 30, 2018.</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7—Supplemental Operations Statement and Cash Flow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 and promotion expenses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Repair and maintenance expenses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Rent expense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r>
              <w:rPr>
                <w:rFonts w:ascii="Arial" w:cs="Arial" w:eastAsia="Arial" w:hAnsi="Arial"/>
                <w:sz w:val="15"/>
                <w:szCs w:val="15"/>
                <w:color w:val="auto"/>
              </w:rPr>
              <w:t>(a)</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77"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Income taxes paid relate to the Company’s international operations. All U.S. federal and state tax payments are made by Post and are a component of “Net parent investment” on the Combined Balance Sheets.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46"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8—Supplemental Balance Sheet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 net</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$84.9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$24.9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products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$56.9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 cash overdrafts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58.7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legal settlements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$17.5</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and promotion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Income and other taxes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9—Allowance for Doubtful Accounts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$0.3</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2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Write-offs, less recoveries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$ 0.1</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0.3</w:t>
            </w:r>
          </w:p>
        </w:tc>
        <w:tc>
          <w:tcPr>
            <w:tcW w:w="28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Company’s Combined Statements of Operations and Comprehensive Income include expense allocations from Post of general and administrative costs, including stock-based compensation expense, as well as costs related to the finance, information technology, legal, human resources, quality, supply chain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were $4.6, $4.4 and $3.6 for the years ended September 30, 2018, 2017 and 2016, respectively, and are included in “Selling, general and administrative expenses” in the Combined Statements of Operations and Comprehensive Income. All allocated costs are included in “Change in net parent investment” within financing activities on the Combined Statements of Cash</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Flows. It is not 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During the year ended September 30, 2016, the Company expensed $5.5 related to this litigation, which was included in “Selling, general and administrative expenses” in the Combined Statement of Operations and Comprehensive Income. No additional expense related to this litigation was incurred in fiscal 2018 or 2017. At both September 30, 2018 and 2017, the Company had accrued $8.5 related to this matter that was included in “Other current liabilities” on the Combined Balance Sheets.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Future minimum rental payments under noncancelable operating leases in effect as of September 30, 2018 were $2.6, $2.6, $2.6, $2.3, $2.2 and $5.4 for fiscal 2019, 2020, 2021, 2022, 2023 and thereafter,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12—Stock-Based Compensation</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Company’s employees participated in Post’s 2012 Long-Term Incentive Plan (the “2012 Plan”) and Post’s 2016 Long-Term Incentive Plan (the “2016 Plan”). The following disclosures reflect the details of Post’s stock-based compensation plans and are not reflective of the Company’s stock-based compensation subsequent to the initial public offering of BellRing Brands, Inc. common stock. On February 3, 2012, Post established the 2012 Plan, which permitted the issuance of various stock-based compensation awards of up to 6.5 million shares of Post’s common stock. On January 28, 2016, Post established the 2016 Plan, which permitted the issuance of stock-based compensation awards of up to 2.4 million shares of Post’s common stock, which includes shares remaining to be issued under the 2012 Plan which were transfered to the 2016 Plan upon its establishment. Awards issued under the 2012 Plan and 2016 Plan have a maximum term of 10 years, provided, however, that the corporate governance and compensation committee of Post’s board of directors may, in its discretion, grant awards with a longer term to participants who are located outside of the U.S.</w:t>
      </w:r>
    </w:p>
    <w:p>
      <w:pPr>
        <w:spacing w:after="0" w:line="166"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Total compensation cost for Post’s non-cash and cash stock-based compensation awards recognized in the years ended September 30, 2018, 2017 and 2016 was $33.8, $30.7 and $25.6, respectively, and the related recognized deferred tax benefit for each of those periods was $7.8, $9.7 and $8.0, respectively. As of September 30, 2018, the total compensation cost related to Post’s non-vested awards not yet recognized was $55.5, which is expected to be recognized over a weighted-average period of 2.1 years. Expense allocated to Active Nutrition was $2.0, $1.6 and $0.9 for the years ended September 30, 2018, 2017 and 2016, respectively, which includes expense directly attributable to Active Nutrition’s employees, as well as allocations of certain Post employees (see Note 10). Expense specifically attributable to Active Nutrition’s employees was $1.9, $1.5 and $0.8 for the years ended September 30, 2018, 2017 and 2016, respectively.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stock options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3"/>
            <w:vMerge w:val="restart"/>
          </w:tcPr>
          <w:p>
            <w:pPr>
              <w:jc w:val="center"/>
              <w:ind w:left="29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92"/>
              </w:rPr>
              <w:t>Term in Years</w:t>
            </w:r>
          </w:p>
        </w:tc>
        <w:tc>
          <w:tcPr>
            <w:tcW w:w="46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2017</w:t>
            </w:r>
          </w:p>
        </w:tc>
        <w:tc>
          <w:tcPr>
            <w:tcW w:w="1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45.36</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Granted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248,206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80.04</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(128,999)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(6,667)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Outstanding at September 30, 2018</w:t>
            </w:r>
          </w:p>
        </w:tc>
        <w:tc>
          <w:tcPr>
            <w:tcW w:w="1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September 30, 2018</w:t>
            </w:r>
          </w:p>
        </w:tc>
        <w:tc>
          <w:tcPr>
            <w:tcW w:w="13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43.67</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5.24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3,647,330</w:t>
            </w: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2018, 2017 and 2016 are summarized in the table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30.7%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30.6%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dividends</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7"/>
          <w:szCs w:val="17"/>
          <w:color w:val="auto"/>
        </w:rPr>
        <w:t>The total intrinsic value of stock options exercised was $4.7, $17.6 and $5.1 in the fiscal years ended September 30, 2018, 2017 and 2016, respectively. Expense allocated to Active Nutrition was $0.2 and $0.1 for the years ended September 30, 2018 and 2017, respectively. There was no expense allocated to Active Nutrition related to stock options for the year ended September 30,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Restricted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4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730,040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478,325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5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(213,824)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48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(52,673)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48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00" w:type="dxa"/>
            <w:vAlign w:val="bottom"/>
            <w:gridSpan w:val="3"/>
          </w:tcPr>
          <w:p>
            <w:pPr>
              <w:jc w:val="right"/>
              <w:ind w:right="4160"/>
              <w:spacing w:after="0"/>
              <w:rPr>
                <w:sz w:val="20"/>
                <w:szCs w:val="20"/>
                <w:color w:val="auto"/>
              </w:rPr>
            </w:pPr>
            <w:r>
              <w:rPr>
                <w:rFonts w:ascii="Arial" w:cs="Arial" w:eastAsia="Arial" w:hAnsi="Arial"/>
                <w:sz w:val="18"/>
                <w:szCs w:val="18"/>
                <w:color w:val="auto"/>
              </w:rPr>
              <w:t>F-22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grant date fair value of each restricted stock unit award was determined based upon the closing price of Post’s common stock on the date of grant. The total vest date fair value of restricted stock units that vested during fiscal 2018, 2017 and 2016 was $17.4, $10.5 and $32.0, respectively.</w:t>
      </w:r>
    </w:p>
    <w:p>
      <w:pPr>
        <w:spacing w:after="0" w:line="124"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fiscal 2018, 2017 and 2016, Post granted 13,300, 10,200 and 15,000 restricted stock units to the non-management members of its board of directors, respectively. Due to vesting provisions of these awards, Post determined that 11,400, 8,500 and 12,500 of these awards granted in fiscal 2018, 2017 and 2016, respectively, had subjective acceleration rights such that Post expensed the grant date fair value upon issuance and recognized $0.9 of related expense in the year ended September 30, 2018 and $0.7 in each of the years ended September 30, 2017 and 2016. Expense allocated to Active Nutrition was $1.6, $1.0 and $0.3 for the years ended September 30, 2018, 2017 and 2016, respectively.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Settled 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cash settled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restart"/>
          </w:tcPr>
          <w:p>
            <w:pPr>
              <w:jc w:val="center"/>
              <w:ind w:left="2639"/>
              <w:spacing w:after="0"/>
              <w:rPr>
                <w:sz w:val="20"/>
                <w:szCs w:val="20"/>
                <w:color w:val="auto"/>
              </w:rPr>
            </w:pPr>
            <w:r>
              <w:rPr>
                <w:rFonts w:ascii="Arial" w:cs="Arial" w:eastAsia="Arial" w:hAnsi="Arial"/>
                <w:sz w:val="14"/>
                <w:szCs w:val="14"/>
                <w:b w:val="1"/>
                <w:bCs w:val="1"/>
                <w:color w:val="auto"/>
                <w:w w:val="91"/>
              </w:rPr>
              <w:t>Cash Settled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6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Stock 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3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Granted</w:t>
            </w:r>
          </w:p>
        </w:tc>
        <w:tc>
          <w:tcPr>
            <w:tcW w:w="30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4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30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Cash settled restricted stock awards are liability awards and as such, their fair value is based upon the closing price of Post’s common stock for each reporting period, with the exception of 49,000 cash settled restricted stock units that are valued at the greater of the closing stock price or the grant price of $51.43. Cash used by Post to settle restricted stock units was $3.2, $4.1 and $5.9 for the years ended September 30, 2018, 2017 and 2016, respectively. Expense allocated to Active Nutrition was $0.2, $0.5 and $0.6 for the years ended September 30, 2018, 2017 and 2016,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13—Information about Geographic Areas and Major Customers</w:t>
      </w:r>
    </w:p>
    <w:p>
      <w:pPr>
        <w:spacing w:after="0" w:line="12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15% of total fiscal 2018 net sales, of which 43%, the largest concentration, were within Europe. Sales are attributed to individual countries based on the address to which the product is shipped.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of September 30, 2018 and 2017, the majority of the Company’s tangible long-lived assets were located in Europe and had a net carrying value of $6.2 and $5.8, respectively, the remainder were located in the U.S.</w:t>
      </w:r>
    </w:p>
    <w:p>
      <w:pPr>
        <w:spacing w:after="0" w:line="17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Two customers individually accounted for more than 10% of total net sales in each of the years ended September 30, 2018, 2017 and 2016. One customer accounted for $298.7, $230.8 and $146.4, or 36%, 32% and 25%, of total net sales in the years ended September 30, 2018, 2017 and 2016, respectively. The other customer accounted for $285.3, $243.0 and $187.4, or 35%, 34% and 33%, of total net sales in the years ended September 30, 2018, 2017 and 2016,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 by product are shown in the following table.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2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5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$469.3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Powders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5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900" w:type="dxa"/>
            <w:vAlign w:val="bottom"/>
            <w:gridSpan w:val="2"/>
          </w:tcPr>
          <w:p>
            <w:pPr>
              <w:jc w:val="right"/>
              <w:ind w:right="3659"/>
              <w:spacing w:after="0"/>
              <w:rPr>
                <w:sz w:val="20"/>
                <w:szCs w:val="20"/>
                <w:color w:val="auto"/>
              </w:rPr>
            </w:pPr>
            <w:r>
              <w:rPr>
                <w:rFonts w:ascii="Arial" w:cs="Arial" w:eastAsia="Arial" w:hAnsi="Arial"/>
                <w:sz w:val="18"/>
                <w:szCs w:val="18"/>
                <w:color w:val="auto"/>
              </w:rPr>
              <w:t>F-24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Nine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560" w:type="dxa"/>
            <w:vAlign w:val="bottom"/>
            <w:gridSpan w:val="4"/>
          </w:tcPr>
          <w:p>
            <w:pPr>
              <w:ind w:left="76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Property,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Company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Net parent investment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597.6</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Earnings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allocated expense from parent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decrease in inventories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prepaid expenses and other current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Decrease in other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in non-current liabilities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Change in net parent investment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PARENT COMPANY EQUITY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r>
        <w:rPr>
          <w:rFonts w:ascii="Arial" w:cs="Arial" w:eastAsia="Arial" w:hAnsi="Arial"/>
          <w:sz w:val="18"/>
          <w:szCs w:val="18"/>
          <w:color w:val="auto"/>
        </w:rPr>
        <w:t>)</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As Of and For The</w:t>
      </w:r>
    </w:p>
    <w:p>
      <w:pPr>
        <w:jc w:val="center"/>
        <w:ind w:left="9400"/>
        <w:spacing w:after="0" w:line="226" w:lineRule="auto"/>
        <w:rPr>
          <w:sz w:val="20"/>
          <w:szCs w:val="20"/>
          <w:color w:val="auto"/>
        </w:rPr>
      </w:pPr>
      <w:r>
        <w:rPr>
          <w:rFonts w:ascii="Arial" w:cs="Arial" w:eastAsia="Arial" w:hAnsi="Arial"/>
          <w:sz w:val="14"/>
          <w:szCs w:val="14"/>
          <w:b w:val="1"/>
          <w:bCs w:val="1"/>
          <w:color w:val="auto"/>
        </w:rPr>
        <w:t>Nine Months Ended</w:t>
      </w:r>
    </w:p>
    <w:p>
      <w:pPr>
        <w:jc w:val="center"/>
        <w:ind w:left="9400"/>
        <w:spacing w:after="0" w:line="232" w:lineRule="auto"/>
        <w:rPr>
          <w:sz w:val="20"/>
          <w:szCs w:val="20"/>
          <w:color w:val="auto"/>
        </w:rPr>
      </w:pPr>
      <w:r>
        <w:rPr>
          <w:rFonts w:ascii="Arial" w:cs="Arial" w:eastAsia="Arial" w:hAnsi="Arial"/>
          <w:sz w:val="14"/>
          <w:szCs w:val="14"/>
          <w:b w:val="1"/>
          <w:bCs w:val="1"/>
          <w:color w:val="auto"/>
        </w:rPr>
        <w:t>June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Parent Investment</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$ 453.1</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$ 491.0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Active Nutrition business of Post (herein referred to as “Active Nutrition” or “the Company”) is a provider of highly nutritious, great-tasting nutrition products including ready-to-drink (“RTD”) protein shakes, other RTD beverages, powders, nutrition bars and supplements in the convenient nutrition category. The Company has a single operating segment.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condensed combined financial statements have been prepared on a stand-alone basis and are derived from the accounting records of Post Holdings, Inc. (“Post”). The condensed combined financial statements reflect the historical results of operations, financial position and cash flows of Active Nutrition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Condensed Combined Statements of Cash Flows as “Change in net parent investment” within financing activities and on the Condensed Combined Balance Sheets as “Net parent investment.”</w:t>
      </w:r>
    </w:p>
    <w:p>
      <w:pPr>
        <w:spacing w:after="0" w:line="188" w:lineRule="exact"/>
        <w:rPr>
          <w:sz w:val="20"/>
          <w:szCs w:val="20"/>
          <w:color w:val="auto"/>
        </w:rPr>
      </w:pPr>
    </w:p>
    <w:p>
      <w:pPr>
        <w:ind w:left="200" w:right="600" w:firstLine="441"/>
        <w:spacing w:after="0" w:line="286" w:lineRule="auto"/>
        <w:rPr>
          <w:sz w:val="20"/>
          <w:szCs w:val="20"/>
          <w:color w:val="auto"/>
        </w:rPr>
      </w:pPr>
      <w:r>
        <w:rPr>
          <w:rFonts w:ascii="Arial" w:cs="Arial" w:eastAsia="Arial" w:hAnsi="Arial"/>
          <w:sz w:val="17"/>
          <w:szCs w:val="17"/>
          <w:color w:val="auto"/>
        </w:rPr>
        <w:t>In the opinion of the Company’s management, the assumptions underlying the historical condensed combined financial statements of the Company, including the basis on which the expenses have been allocated from Post, are reasonable. However, the allocations may not reflect the expenses that the Company would have incurred as a separate company for the periods presented.</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accompanying unaudited condensed combined financial statements have been prepared in accordance with accounting principles generally accepted in the United States (“GAAP”) for interim financial information and the rules and regulations of the Securities and Exchange Commission (the “SEC”). Accordingly, they do not include all of the information and notes required by GAAP for complete financial statements. In the opinion of management, the accompanying unaudited condensed combined financial statements include all adjustments (consisting of only normal, recurring adjustments) considered necessary for a fair statement of the Company’s results of operations, comprehensive income, financial position, cash flows and parent company equity for the interim periods presented. Interim results are not necessarily indicative of the results that may be expected for the full year. The accompanying unaudited condensed combined financial statements should be read in conjunction with the combined annual financial statements and notes thereto for the years ended September 30, 2018, 2017 and 2016. Subsequent events have been assessed through the submission date and no events were identified to report or record.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2—RECENTLY ISSUED AND ADOPTED ACCOUNTING STANDARDS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Company’s results of operations, financial position,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This ASU requires a company to recognize right-of-use assets and lease liabilities on its balance sheet and disclose key information about leasing arrangements. ASU 2016-02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These ASUs are effective for annual periods beginning after December 15, 2018 and interim periods therein (i.e., Active Nutrition’s financial statements for the year ending September 30, 2020), with early adoption permitted. The Company will adopt these ASUs on October 1, 2019, and it expects to use the modified retrospective method of adoption. The Company has selected a software vendor and is in the process of assessing its lease agreements to identify those that fall within the scope of these ASUs. These ASUs will result in an increase in both assets and liabilities; however, the Company is unable to quantify the impact at this time. In addition, the Company expects to provide expanded disclosures upon adoption to present additional information related to its leasing arrangements.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 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$5.3 within the statement of operations and comprehensive income. For additional information, refer to Note 3.</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3—REVENUE FROM CONTRACTS WITH CUSTOMERS</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conjunction with the adoption of ASU 2014-09 (see Note 2),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occur before the customer obtains control of the goods are deemed fulfillment activities and are accounted for as fulfillment costs. The Company’s contracts with customers generally contain one performance obligation.</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Many of the Company’s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165"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Impacts of Adoption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used the modified retrospective transition method of adoption and elected the following practical expedients in accordance with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ASC Topic 606:</w:t>
      </w:r>
    </w:p>
    <w:p>
      <w:pPr>
        <w:spacing w:after="0" w:line="116" w:lineRule="exact"/>
        <w:rPr>
          <w:sz w:val="20"/>
          <w:szCs w:val="20"/>
          <w:color w:val="auto"/>
        </w:rPr>
      </w:pPr>
    </w:p>
    <w:p>
      <w:pPr>
        <w:ind w:left="1180" w:right="80" w:hanging="544"/>
        <w:spacing w:after="0" w:line="264"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—The Company elected not to adjust the promised amount of consideration for the effects of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—The Company elected to account for shipping and handling activities that occur before the customer has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control of a good as fulfillment activities (i.e., an expense), rather than as promised services.</w:t>
      </w:r>
    </w:p>
    <w:p>
      <w:pPr>
        <w:spacing w:after="0" w:line="75" w:lineRule="exact"/>
        <w:rPr>
          <w:rFonts w:ascii="Arial" w:cs="Arial" w:eastAsia="Arial" w:hAnsi="Arial"/>
          <w:sz w:val="18"/>
          <w:szCs w:val="18"/>
          <w:color w:val="auto"/>
        </w:rPr>
      </w:pPr>
    </w:p>
    <w:p>
      <w:pPr>
        <w:ind w:left="1180" w:right="340" w:hanging="544"/>
        <w:spacing w:after="0" w:line="264"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Measurement of transaction price</w:t>
      </w:r>
      <w:r>
        <w:rPr>
          <w:rFonts w:ascii="Arial" w:cs="Arial" w:eastAsia="Arial" w:hAnsi="Arial"/>
          <w:sz w:val="18"/>
          <w:szCs w:val="18"/>
          <w:color w:val="auto"/>
        </w:rPr>
        <w:t>—The Company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Company from a customer for sales taxes.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tables summarize the impact of the Company’s adoption of ASC Topic 606 on a modified retrospective basis in the Company’s Condensed Combined Statement of Operations and Comprehensive Income. As a result of the adoption, certain payments to customers totaling $5.3 in the nine months ended June 30, 2019 previously classified in “Selling, general, and administrative expenses” were classified as “Net Sales” in the Condensed Combined Statement of Operations and Comprehensive Income. These payments to customers relate to trade advertisements that support the Company’s sales to customers. In accordance with ASC Topic 606, these payments were determined not to be distinct within the customer contracts and, as such, require classification within net sales. No changes to the balance sheet were required by the adoption of ASC Topic 606.</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w w:val="93"/>
              </w:rPr>
              <w:t>Nine Months Ended June 30, 2019</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8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2"/>
              </w:rPr>
              <w:t>As Reported</w:t>
            </w:r>
          </w:p>
        </w:tc>
        <w:tc>
          <w:tcPr>
            <w:tcW w:w="1160" w:type="dxa"/>
            <w:vAlign w:val="bottom"/>
            <w:gridSpan w:val="3"/>
          </w:tcPr>
          <w:p>
            <w:pPr>
              <w:ind w:left="480"/>
              <w:spacing w:after="0" w:line="110" w:lineRule="exact"/>
              <w:rPr>
                <w:sz w:val="20"/>
                <w:szCs w:val="20"/>
                <w:color w:val="auto"/>
              </w:rPr>
            </w:pPr>
            <w:r>
              <w:rPr>
                <w:rFonts w:ascii="Arial" w:cs="Arial" w:eastAsia="Arial" w:hAnsi="Arial"/>
                <w:sz w:val="12"/>
                <w:szCs w:val="12"/>
                <w:b w:val="1"/>
                <w:bCs w:val="1"/>
                <w:color w:val="auto"/>
                <w:w w:val="92"/>
              </w:rPr>
              <w:t>As Reported</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5"/>
              </w:rPr>
              <w:t>Under</w:t>
            </w:r>
          </w:p>
        </w:tc>
        <w:tc>
          <w:tcPr>
            <w:tcW w:w="48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2"/>
              </w:rPr>
              <w:t>Under Prior</w:t>
            </w:r>
          </w:p>
        </w:tc>
        <w:tc>
          <w:tcPr>
            <w:tcW w:w="1120" w:type="dxa"/>
            <w:vAlign w:val="bottom"/>
            <w:gridSpan w:val="4"/>
          </w:tcPr>
          <w:p>
            <w:pPr>
              <w:ind w:left="480"/>
              <w:spacing w:after="0" w:line="135" w:lineRule="exact"/>
              <w:rPr>
                <w:sz w:val="20"/>
                <w:szCs w:val="20"/>
                <w:color w:val="auto"/>
              </w:rPr>
            </w:pPr>
            <w:r>
              <w:rPr>
                <w:rFonts w:ascii="Arial" w:cs="Arial" w:eastAsia="Arial" w:hAnsi="Arial"/>
                <w:sz w:val="13"/>
                <w:szCs w:val="13"/>
                <w:b w:val="1"/>
                <w:bCs w:val="1"/>
                <w:color w:val="auto"/>
              </w:rPr>
              <w:t>Impact of</w:t>
            </w:r>
          </w:p>
        </w:tc>
      </w:t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3"/>
              </w:rPr>
              <w:t>Topic 606</w:t>
            </w:r>
          </w:p>
        </w:tc>
        <w:tc>
          <w:tcPr>
            <w:tcW w:w="4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Guidance</w:t>
            </w:r>
          </w:p>
        </w:tc>
        <w:tc>
          <w:tcPr>
            <w:tcW w:w="4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Adoption</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3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920" w:type="dxa"/>
            <w:vAlign w:val="bottom"/>
            <w:gridSpan w:val="2"/>
          </w:tcPr>
          <w:p>
            <w:pPr>
              <w:ind w:left="106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The following table presents net sales by product. The amounts for the nine months ended June 30, 2019 are presented under ASC Topic 606, “Revenue from Contracts with Customers” and the amounts for the nine months ended June 30, 2018 are presented under ASC Topic 605, “Revenue Recognition.”</w:t>
      </w:r>
    </w:p>
    <w:p>
      <w:pPr>
        <w:spacing w:after="0" w:line="200"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Nine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 beverages</w:t>
            </w:r>
          </w:p>
        </w:tc>
        <w:tc>
          <w:tcPr>
            <w:tcW w:w="3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$ 493.6</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$ 439.0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Powders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Sales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$ 607.6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4—INCOME TAXES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effective income tax rate was 23.8% and 15.8% for the nine months ended June 30, 2019 and 2018, respectively. In accordance with ASC Topic 740, “Income Taxes,” the Company records income tax expense for interim periods using the estimated annual effective income tax rate for the full fiscal year adjusted for the impact of discrete items occurring during the interim periods.</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effective income tax rate in the nine months ended June 30, 2018 was impacted by the Tax Cuts and Jobs Act (the “Tax Act”), which was enacted on December 22, 2017. The Tax Act resulted in significant impacts to the Company’s accounting for income taxes, with the most significant of these impacts resulting from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2019 tax year and was prorated with the pre-December 22, 2017 U.S. federal corporate income tax rate of 35% for the Company’s 2018 tax year. This proration resulted in a blended U.S. federal corporate income tax rate of 24.5% for fiscal 2018. During the nine months ended June 30, 2018, the Company (i) remeasured its existing deferred tax assets and liabilities considering both the 2018 fiscal year blended rate and the 21% rate for periods beyond fiscal 2018 and recorded a tax benefit of $9.9 and (ii) calculated the one-time transition tax and recorded tax expense of $0.5. Full expensing of certain depreciable assets resulted in temporary differences, which were analyzed throughout fiscal 2018 as assets were placed in service.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5—INVENTORIES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6—PROPERTY, NET</w:t>
            </w: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00" w:type="dxa"/>
            <w:vAlign w:val="bottom"/>
            <w:gridSpan w:val="2"/>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80" w:type="dxa"/>
            <w:vAlign w:val="bottom"/>
            <w:gridSpan w:val="3"/>
          </w:tcPr>
          <w:p>
            <w:pPr>
              <w:jc w:val="right"/>
              <w:ind w:right="3325"/>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intangible assets subject to amortization are as follows: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28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5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34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58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1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80" w:type="dxa"/>
            <w:vAlign w:val="bottom"/>
            <w:vMerge w:val="continue"/>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$155.4</w:t>
            </w: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Trademarks/brands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318.7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Condensed Combined Statements of Operations and Comprehensive Income include allocations of general and administrative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costs, including stock-based compensation expense, as well as costs related to the finance, information technology, legal, human resources, quality,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supply chain and purchasing functions. Costs for these functions and services performed by Post have been allocated to the Company based on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reasonable activity base (including specific costs, revenue, net assets and headcount, or a combination of such items) or another reasonable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method. Allocated costs were $8.3 and $3.3 for the nine months ended June 30, 2019 and 2018, respectively, and are included in “Selling, general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in the Condensed Combined Statements of Operations and Comprehensive Income. Allocated costs include $3.9 of costs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to the separation of the Company from Post for the nine months ended June 30, 2019. Separation costs of $0.1 were recorded directly by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during the nine months ended June 30, 2019, and were included in “selling, general and administrative expenses” in the Condensed Combined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Statements of Operations and Comprehensive Income. All allocated costs are included in “Change in net parent investment” within financing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the Condensed Combined Statements of Cash Flows. It is not practicable to determine the actual expenses that would have been incurred for these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had the Company operated as a separate entity. Actual costs that would have been incurred had the Company operated as a separate public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during the periods presented would depend on a number of factors, including the organizational structure and strategic decisions made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various areas, such as human resources, legal, finance, information technology and infrastructure, among others. Management considers the allocation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method to be reasonable.</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the Company’s U.S. operations have historically been provided by Post, which has managed cash and cash equivalents on a centralized basis. Under Post’s centralized cash management system, cash requirements are provided directly by Post and cash generated by the Company is generally remitted directly to Post. Transaction systems (e.g. payroll and employee benefits) used to record and account for cash disbursements are generally provided by Post. Cash receipts associated with the U.S. business have been transferred to Post on a daily basis and Post has funded the Company’s cash disbursements. Financial resources for the Company’s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9—COMMITMENTS AND CONTINGENCIES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March 2013, a complaint was filed on behalf of a putative, nationwide class of consumers against Premier Nutrition Corporation (“Premier Nutrition”) in the U.S. District Court for the Northern District of California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 xml:space="preserve">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dietary supplements were false and misleading. In April 2016, the district court certified a California-only class of consumers in this lawsuit ( this lawsuit is hereinafter referred to as the “California Class Lawsuit”).</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Maryland, Massachusetts, Michigan, New Jersey, New Mexico, New York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At both June 30, 2019 and September 30, 2018, the Company had accrued $8.5 related to this matter that was included in “Other current liabilities” on the Condensed Combined Balance Sheets.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34,285,714 Shares</w:t>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43"/>
          <w:szCs w:val="43"/>
          <w:i w:val="1"/>
          <w:iCs w:val="1"/>
          <w:color w:val="auto"/>
        </w:rPr>
        <w:t>BellRing Brands, Inc.</w:t>
      </w: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22"/>
          <w:szCs w:val="22"/>
          <w:i w:val="1"/>
          <w:iCs w:val="1"/>
          <w:color w:val="auto"/>
        </w:rPr>
        <w:t>Class A common stock</w:t>
      </w: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22"/>
          <w:szCs w:val="22"/>
          <w:i w:val="1"/>
          <w:iCs w:val="1"/>
          <w:color w:val="auto"/>
        </w:rPr>
        <w:t>Prospectus</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October 16, 2019</w:t>
      </w: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Morgan Stanley</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Citigroup</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J.P. Morgan</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Goldman Sachs &amp; Co. LLC</w:t>
      </w: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BofA Merrill Lynch</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Barclays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BMO Capital Markets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Credit Suisse</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Evercore ISI</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Stifel</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SunTrust Robinson Humphrey</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Wells Fargo Securities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HSBC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Nomura</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PNC Capital Markets LLC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Rabo Securities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UBS Investment Bank</w:t>
      </w:r>
    </w:p>
    <w:p>
      <w:pPr>
        <w:spacing w:after="0" w:line="200" w:lineRule="exact"/>
        <w:rPr>
          <w:sz w:val="20"/>
          <w:szCs w:val="20"/>
          <w:color w:val="auto"/>
        </w:rPr>
      </w:pPr>
    </w:p>
    <w:p>
      <w:pPr>
        <w:spacing w:after="0" w:line="349"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b w:val="1"/>
          <w:bCs w:val="1"/>
          <w:i w:val="1"/>
          <w:iCs w:val="1"/>
          <w:color w:val="auto"/>
        </w:rPr>
        <w:t>You should rely only on the information contained in this prospectus. None of BellRing Brands, Inc., Post Holdings, Inc. or the underwriters have authorized anyone to provide you with information different from that contained in this prospectus. BellRing Brands, Inc. is offering to sell, and seeking offers to buy, the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88" w:lineRule="exact"/>
        <w:rPr>
          <w:sz w:val="20"/>
          <w:szCs w:val="20"/>
          <w:color w:val="auto"/>
        </w:rPr>
      </w:pPr>
    </w:p>
    <w:p>
      <w:pPr>
        <w:jc w:val="both"/>
        <w:ind w:left="200"/>
        <w:spacing w:after="0" w:line="340" w:lineRule="auto"/>
        <w:rPr>
          <w:sz w:val="20"/>
          <w:szCs w:val="20"/>
          <w:color w:val="auto"/>
        </w:rPr>
      </w:pPr>
      <w:r>
        <w:rPr>
          <w:rFonts w:ascii="Arial" w:cs="Arial" w:eastAsia="Arial" w:hAnsi="Arial"/>
          <w:sz w:val="15"/>
          <w:szCs w:val="15"/>
          <w:b w:val="1"/>
          <w:bCs w:val="1"/>
          <w:i w:val="1"/>
          <w:iCs w:val="1"/>
          <w:color w:val="auto"/>
        </w:rPr>
        <w:t>No action is being taken in any jurisdiction outside of the U.S. to permit a public offering of the Class A common stock or possession or distribution of this prospectus in that jurisdiction. Persons who come into possession of this prospectus in jurisdictions outside of the U.S. are required to inform themselves about and to observe any restrictions as to this offering and the distribution of this prospectus applicable to that jurisdiction.</w:t>
      </w:r>
    </w:p>
    <w:p>
      <w:pPr>
        <w:spacing w:after="0" w:line="131"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b w:val="1"/>
          <w:bCs w:val="1"/>
          <w:i w:val="1"/>
          <w:iCs w:val="1"/>
          <w:color w:val="auto"/>
        </w:rPr>
        <w:t>Until November 10, 2019 (the 25th day after the date of this prospectus), all dealers that effect transactions in the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180"/>
          </w:cols>
          <w:pgMar w:left="240" w:top="460" w:right="479" w:bottom="1440" w:gutter="0" w:footer="0" w:header="0"/>
        </w:sectPr>
      </w:pPr>
    </w:p>
    <w:bookmarkStart w:id="229" w:name="page230"/>
    <w:bookmarkEnd w:id="2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6617970</wp:posOffset>
            </wp:positionV>
            <wp:extent cx="1672590" cy="814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72590" cy="81470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4AD084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1)"/>
      <w:numFmt w:val="lowerRoman"/>
      <w:start w:val="5"/>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1)"/>
      <w:numFmt w:val="decimal"/>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1)"/>
      <w:numFmt w:val="lowerLetter"/>
      <w:start w:val="1"/>
    </w:lvl>
    <w:lvl w:ilvl="1">
      <w:lvlJc w:val="left"/>
      <w:lvlText w:val="•"/>
      <w:numFmt w:val="bullet"/>
      <w:start w:val="1"/>
    </w:lvl>
  </w:abstractNum>
  <w:abstractNum w:abstractNumId="36">
    <w:nsid w:val="3B0FD379"/>
    <w:multiLevelType w:val="hybridMultilevel"/>
    <w:lvl w:ilvl="0">
      <w:lvlJc w:val="left"/>
      <w:lvlText w:val="(%1)"/>
      <w:numFmt w:val="lowerLetter"/>
      <w:start w:val="3"/>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lowerLetter"/>
      <w:start w:val="1"/>
    </w:lvl>
  </w:abstractNum>
  <w:abstractNum w:abstractNumId="40">
    <w:nsid w:val="6A5EE64"/>
    <w:multiLevelType w:val="hybridMultilevel"/>
    <w:lvl w:ilvl="0">
      <w:lvlJc w:val="left"/>
      <w:lvlText w:val="(%1)"/>
      <w:numFmt w:val="lowerRoman"/>
      <w:start w:val="2"/>
    </w:lvl>
  </w:abstractNum>
  <w:abstractNum w:abstractNumId="41">
    <w:nsid w:val="14330624"/>
    <w:multiLevelType w:val="hybridMultilevel"/>
    <w:lvl w:ilvl="0">
      <w:lvlJc w:val="left"/>
      <w:lvlText w:val="%1."/>
      <w:numFmt w:val="lowerLetter"/>
      <w:start w:val="8"/>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1)"/>
      <w:numFmt w:val="lowerRoman"/>
      <w:start w:val="1"/>
    </w:lvl>
  </w:abstractNum>
  <w:abstractNum w:abstractNumId="44">
    <w:nsid w:val="71EA1109"/>
    <w:multiLevelType w:val="hybridMultilevel"/>
    <w:lvl w:ilvl="0">
      <w:lvlJc w:val="left"/>
      <w:lvlText w:val="(%1)"/>
      <w:numFmt w:val="lowerLetter"/>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lvl w:ilvl="1">
      <w:lvlJc w:val="left"/>
      <w:lvlText w:val="(%2)"/>
      <w:numFmt w:val="lowerLetter"/>
      <w:start w:val="2"/>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1)"/>
      <w:numFmt w:val="lowerLetter"/>
      <w:start w:val="1"/>
    </w:lvl>
  </w:abstractNum>
  <w:abstractNum w:abstractNumId="56">
    <w:nsid w:val="74DE0EE3"/>
    <w:multiLevelType w:val="hybridMultilevel"/>
    <w:lvl w:ilvl="0">
      <w:lvlJc w:val="left"/>
      <w:lvlText w:val="(%1)"/>
      <w:numFmt w:val="lowerLetter"/>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1)"/>
      <w:numFmt w:val="decimal"/>
      <w:start w:val="1"/>
    </w:lvl>
  </w:abstractNum>
  <w:abstractNum w:abstractNumId="70">
    <w:nsid w:val="5FB8370B"/>
    <w:multiLevelType w:val="hybridMultilevel"/>
    <w:lvl w:ilvl="0">
      <w:lvlJc w:val="left"/>
      <w:lvlText w:val="(%1)"/>
      <w:numFmt w:val="decimal"/>
      <w:start w:val="4"/>
    </w:lvl>
  </w:abstractNum>
  <w:abstractNum w:abstractNumId="71">
    <w:nsid w:val="50801EE1"/>
    <w:multiLevelType w:val="hybridMultilevel"/>
    <w:lvl w:ilvl="0">
      <w:lvlJc w:val="left"/>
      <w:lvlText w:val="(%1)"/>
      <w:numFmt w:val="decimal"/>
      <w:start w:val="5"/>
    </w:lvl>
  </w:abstractNum>
  <w:abstractNum w:abstractNumId="72">
    <w:nsid w:val="488AC1A"/>
    <w:multiLevelType w:val="hybridMultilevel"/>
    <w:lvl w:ilvl="0">
      <w:lvlJc w:val="left"/>
      <w:lvlText w:val="(%1)"/>
      <w:numFmt w:val="decimal"/>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1)"/>
      <w:numFmt w:val="lowerRoman"/>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
      <w:numFmt w:val="bullet"/>
      <w:start w:val="1"/>
    </w:lvl>
  </w:abstractNum>
  <w:abstractNum w:abstractNumId="77">
    <w:nsid w:val="6A5F7029"/>
    <w:multiLevelType w:val="hybridMultilevel"/>
    <w:lvl w:ilvl="0">
      <w:lvlJc w:val="left"/>
      <w:lvlText w:val="•"/>
      <w:numFmt w:val="bullet"/>
      <w:start w:val="1"/>
    </w:lvl>
    <w:lvl w:ilvl="1">
      <w:lvlJc w:val="left"/>
      <w:lvlText w:val="•"/>
      <w:numFmt w:val="bullet"/>
      <w:start w:val="1"/>
    </w:lvl>
  </w:abstractNum>
  <w:abstractNum w:abstractNumId="78">
    <w:nsid w:val="7D5E18F8"/>
    <w:multiLevelType w:val="hybridMultilevel"/>
    <w:lvl w:ilvl="0">
      <w:lvlJc w:val="left"/>
      <w:lvlText w:val="•"/>
      <w:numFmt w:val="bullet"/>
      <w:start w:val="1"/>
    </w:lvl>
    <w:lvl w:ilvl="1">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1)"/>
      <w:numFmt w:val="decimal"/>
      <w:start w:val="1"/>
    </w:lvl>
  </w:abstractNum>
  <w:abstractNum w:abstractNumId="83">
    <w:nsid w:val="3FA62ACA"/>
    <w:multiLevelType w:val="hybridMultilevel"/>
    <w:lvl w:ilvl="0">
      <w:lvlJc w:val="left"/>
      <w:lvlText w:val="(%1)"/>
      <w:numFmt w:val="lowerRoman"/>
      <w:start w:val="4"/>
    </w:lvl>
  </w:abstractNum>
  <w:abstractNum w:abstractNumId="84">
    <w:nsid w:val="14FCE74E"/>
    <w:multiLevelType w:val="hybridMultilevel"/>
    <w:lvl w:ilvl="0">
      <w:lvlJc w:val="left"/>
      <w:lvlText w:val="(%1)"/>
      <w:numFmt w:val="lowerRoman"/>
      <w:start w:val="3"/>
    </w:lvl>
  </w:abstractNum>
  <w:abstractNum w:abstractNumId="85">
    <w:nsid w:val="6A3DD3E8"/>
    <w:multiLevelType w:val="hybridMultilevel"/>
    <w:lvl w:ilvl="0">
      <w:lvlJc w:val="left"/>
      <w:lvlText w:val="(%1)"/>
      <w:numFmt w:val="lowerRoman"/>
      <w:start w:val="3"/>
    </w:lvl>
  </w:abstractNum>
  <w:abstractNum w:abstractNumId="86">
    <w:nsid w:val="71C91298"/>
    <w:multiLevelType w:val="hybridMultilevel"/>
    <w:lvl w:ilvl="0">
      <w:lvlJc w:val="left"/>
      <w:lvlText w:val="•"/>
      <w:numFmt w:val="bullet"/>
      <w:start w:val="1"/>
    </w:lvl>
  </w:abstractNum>
  <w:abstractNum w:abstractNumId="87">
    <w:nsid w:val="9DAF632"/>
    <w:multiLevelType w:val="hybridMultilevel"/>
    <w:lvl w:ilvl="0">
      <w:lvlJc w:val="left"/>
      <w:lvlText w:val="•"/>
      <w:numFmt w:val="bullet"/>
      <w:start w:val="1"/>
    </w:lvl>
  </w:abstractNum>
  <w:abstractNum w:abstractNumId="88">
    <w:nsid w:val="53299938"/>
    <w:multiLevelType w:val="hybridMultilevel"/>
    <w:lvl w:ilvl="0">
      <w:lvlJc w:val="left"/>
      <w:lvlText w:val="•"/>
      <w:numFmt w:val="bullet"/>
      <w:start w:val="1"/>
    </w:lvl>
  </w:abstractNum>
  <w:abstractNum w:abstractNumId="89">
    <w:nsid w:val="1FBFE8E0"/>
    <w:multiLevelType w:val="hybridMultilevel"/>
    <w:lvl w:ilvl="0">
      <w:lvlJc w:val="left"/>
      <w:lvlText w:val="•"/>
      <w:numFmt w:val="bullet"/>
      <w:start w:val="1"/>
    </w:lvl>
  </w:abstractNum>
  <w:abstractNum w:abstractNumId="90">
    <w:nsid w:val="5092CA79"/>
    <w:multiLevelType w:val="hybridMultilevel"/>
    <w:lvl w:ilvl="0">
      <w:lvlJc w:val="left"/>
      <w:lvlText w:val="•"/>
      <w:numFmt w:val="bullet"/>
      <w:start w:val="1"/>
    </w:lvl>
  </w:abstractNum>
  <w:abstractNum w:abstractNumId="91">
    <w:nsid w:val="1D545C4D"/>
    <w:multiLevelType w:val="hybridMultilevel"/>
    <w:lvl w:ilvl="0">
      <w:lvlJc w:val="left"/>
      <w:lvlText w:val="•"/>
      <w:numFmt w:val="bullet"/>
      <w:start w:val="1"/>
    </w:lvl>
  </w:abstractNum>
  <w:abstractNum w:abstractNumId="92">
    <w:nsid w:val="59ADEA3D"/>
    <w:multiLevelType w:val="hybridMultilevel"/>
    <w:lvl w:ilvl="0">
      <w:lvlJc w:val="left"/>
      <w:lvlText w:val="•"/>
      <w:numFmt w:val="bullet"/>
      <w:start w:val="1"/>
    </w:lvl>
  </w:abstractNum>
  <w:abstractNum w:abstractNumId="93">
    <w:nsid w:val="288F1A34"/>
    <w:multiLevelType w:val="hybridMultilevel"/>
    <w:lvl w:ilvl="0">
      <w:lvlJc w:val="left"/>
      <w:lvlText w:val="•"/>
      <w:numFmt w:val="bullet"/>
      <w:start w:val="1"/>
    </w:lvl>
  </w:abstractNum>
  <w:abstractNum w:abstractNumId="94">
    <w:nsid w:val="2A155DBC"/>
    <w:multiLevelType w:val="hybridMultilevel"/>
    <w:lvl w:ilvl="0">
      <w:lvlJc w:val="left"/>
      <w:lvlText w:val="(%1)"/>
      <w:numFmt w:val="decimal"/>
      <w:start w:val="1"/>
    </w:lvl>
  </w:abstractNum>
  <w:abstractNum w:abstractNumId="95">
    <w:nsid w:val="1D9F6E5F"/>
    <w:multiLevelType w:val="hybridMultilevel"/>
    <w:lvl w:ilvl="0">
      <w:lvlJc w:val="left"/>
      <w:lvlText w:val="•"/>
      <w:numFmt w:val="bullet"/>
      <w:start w:val="1"/>
    </w:lvl>
  </w:abstractNum>
  <w:abstractNum w:abstractNumId="96">
    <w:nsid w:val="97E1B4E"/>
    <w:multiLevelType w:val="hybridMultilevel"/>
    <w:lvl w:ilvl="0">
      <w:lvlJc w:val="left"/>
      <w:lvlText w:val="•"/>
      <w:numFmt w:val="bullet"/>
      <w:start w:val="1"/>
    </w:lvl>
  </w:abstractNum>
  <w:abstractNum w:abstractNumId="97">
    <w:nsid w:val="51088277"/>
    <w:multiLevelType w:val="hybridMultilevel"/>
    <w:lvl w:ilvl="0">
      <w:lvlJc w:val="left"/>
      <w:lvlText w:val="•"/>
      <w:numFmt w:val="bullet"/>
      <w:start w:val="1"/>
    </w:lvl>
  </w:abstractNum>
  <w:abstractNum w:abstractNumId="98">
    <w:nsid w:val="1CA0C5FA"/>
    <w:multiLevelType w:val="hybridMultilevel"/>
    <w:lvl w:ilvl="0">
      <w:lvlJc w:val="left"/>
      <w:lvlText w:val="•"/>
      <w:numFmt w:val="bullet"/>
      <w:start w:val="1"/>
    </w:lvl>
  </w:abstractNum>
  <w:abstractNum w:abstractNumId="99">
    <w:nsid w:val="53584BCB"/>
    <w:multiLevelType w:val="hybridMultilevel"/>
    <w:lvl w:ilvl="0">
      <w:lvlJc w:val="left"/>
      <w:lvlText w:val="(%1)"/>
      <w:numFmt w:val="lowerRoman"/>
      <w:start w:val="1"/>
    </w:lvl>
  </w:abstractNum>
  <w:abstractNum w:abstractNumId="100">
    <w:nsid w:val="415E286C"/>
    <w:multiLevelType w:val="hybridMultilevel"/>
    <w:lvl w:ilvl="0">
      <w:lvlJc w:val="left"/>
      <w:lvlText w:val="•"/>
      <w:numFmt w:val="bullet"/>
      <w:start w:val="1"/>
    </w:lvl>
  </w:abstractNum>
  <w:abstractNum w:abstractNumId="101">
    <w:nsid w:val="7C58FD05"/>
    <w:multiLevelType w:val="hybridMultilevel"/>
    <w:lvl w:ilvl="0">
      <w:lvlJc w:val="left"/>
      <w:lvlText w:val="•"/>
      <w:numFmt w:val="bullet"/>
      <w:start w:val="1"/>
    </w:lvl>
  </w:abstractNum>
  <w:abstractNum w:abstractNumId="102">
    <w:nsid w:val="23D86AAC"/>
    <w:multiLevelType w:val="hybridMultilevel"/>
    <w:lvl w:ilvl="0">
      <w:lvlJc w:val="left"/>
      <w:lvlText w:val="•"/>
      <w:numFmt w:val="bullet"/>
      <w:start w:val="1"/>
    </w:lvl>
  </w:abstractNum>
  <w:abstractNum w:abstractNumId="103">
    <w:nsid w:val="45E6D486"/>
    <w:multiLevelType w:val="hybridMultilevel"/>
    <w:lvl w:ilvl="0">
      <w:lvlJc w:val="left"/>
      <w:lvlText w:val="•"/>
      <w:numFmt w:val="bullet"/>
      <w:start w:val="1"/>
    </w:lvl>
  </w:abstractNum>
  <w:abstractNum w:abstractNumId="104">
    <w:nsid w:val="5C10FE21"/>
    <w:multiLevelType w:val="hybridMultilevel"/>
    <w:lvl w:ilvl="0">
      <w:lvlJc w:val="left"/>
      <w:lvlText w:val="•"/>
      <w:numFmt w:val="bullet"/>
      <w:start w:val="1"/>
    </w:lvl>
  </w:abstractNum>
  <w:abstractNum w:abstractNumId="105">
    <w:nsid w:val="E7FFA2B"/>
    <w:multiLevelType w:val="hybridMultilevel"/>
    <w:lvl w:ilvl="0">
      <w:lvlJc w:val="left"/>
      <w:lvlText w:val="•"/>
      <w:numFmt w:val="bullet"/>
      <w:start w:val="1"/>
    </w:lvl>
  </w:abstractNum>
  <w:abstractNum w:abstractNumId="106">
    <w:nsid w:val="3C5991AA"/>
    <w:multiLevelType w:val="hybridMultilevel"/>
    <w:lvl w:ilvl="0">
      <w:lvlJc w:val="left"/>
      <w:lvlText w:val="•"/>
      <w:numFmt w:val="bullet"/>
      <w:start w:val="1"/>
    </w:lvl>
    <w:lvl w:ilvl="1">
      <w:lvlJc w:val="left"/>
      <w:lvlText w:val="(%2)"/>
      <w:numFmt w:val="decimal"/>
      <w:start w:val="2"/>
    </w:lvl>
  </w:abstractNum>
  <w:abstractNum w:abstractNumId="107">
    <w:nsid w:val="4BD8591A"/>
    <w:multiLevelType w:val="hybridMultilevel"/>
    <w:lvl w:ilvl="0">
      <w:lvlJc w:val="left"/>
      <w:lvlText w:val="(%1)"/>
      <w:numFmt w:val="lowerLetter"/>
      <w:start w:val="2"/>
    </w:lvl>
  </w:abstractNum>
  <w:abstractNum w:abstractNumId="108">
    <w:nsid w:val="78DF6A55"/>
    <w:multiLevelType w:val="hybridMultilevel"/>
    <w:lvl w:ilvl="0">
      <w:lvlJc w:val="left"/>
      <w:lvlText w:val="•"/>
      <w:numFmt w:val="bullet"/>
      <w:start w:val="1"/>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1)"/>
      <w:numFmt w:val="upperLetter"/>
      <w:start w:val="1"/>
    </w:lvl>
    <w:lvl w:ilvl="1">
      <w:lvlJc w:val="left"/>
      <w:lvlText w:val="•"/>
      <w:numFmt w:val="bullet"/>
      <w:start w:val="1"/>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amp;"/>
      <w:numFmt w:val="bullet"/>
      <w:start w:val="1"/>
    </w:lvl>
  </w:abstractNum>
  <w:abstractNum w:abstractNumId="114">
    <w:nsid w:val="2C27173B"/>
    <w:multiLevelType w:val="hybridMultilevel"/>
    <w:lvl w:ilvl="0">
      <w:lvlJc w:val="left"/>
      <w:lvlText w:val="•"/>
      <w:numFmt w:val="bullet"/>
      <w:start w:val="1"/>
    </w:lvl>
  </w:abstractNum>
  <w:abstractNum w:abstractNumId="115">
    <w:nsid w:val="4C9B0904"/>
    <w:multiLevelType w:val="hybridMultilevel"/>
    <w:lvl w:ilvl="0">
      <w:lvlJc w:val="left"/>
      <w:lvlText w:val="(%1)"/>
      <w:numFmt w:val="lowerLetter"/>
      <w:start w:val="4"/>
    </w:lvl>
  </w:abstractNum>
  <w:abstractNum w:abstractNumId="116">
    <w:nsid w:val="6AA7B75C"/>
    <w:multiLevelType w:val="hybridMultilevel"/>
    <w:lvl w:ilvl="0">
      <w:lvlJc w:val="left"/>
      <w:lvlText w:val="(%1)"/>
      <w:numFmt w:val="lowerRoman"/>
      <w:start w:val="3"/>
    </w:lvl>
  </w:abstractNum>
  <w:abstractNum w:abstractNumId="117">
    <w:nsid w:val="1DF029D3"/>
    <w:multiLevelType w:val="hybridMultilevel"/>
    <w:lvl w:ilvl="0">
      <w:lvlJc w:val="left"/>
      <w:lvlText w:val="$"/>
      <w:numFmt w:val="bullet"/>
      <w:start w:val="1"/>
    </w:lvl>
  </w:abstractNum>
  <w:abstractNum w:abstractNumId="118">
    <w:nsid w:val="5675FF36"/>
    <w:multiLevelType w:val="hybridMultilevel"/>
    <w:lvl w:ilvl="0">
      <w:lvlJc w:val="left"/>
      <w:lvlText w:val="$"/>
      <w:numFmt w:val="bullet"/>
      <w:start w:val="1"/>
    </w:lvl>
  </w:abstractNum>
  <w:abstractNum w:abstractNumId="119">
    <w:nsid w:val="3DD15094"/>
    <w:multiLevelType w:val="hybridMultilevel"/>
    <w:lvl w:ilvl="0">
      <w:lvlJc w:val="left"/>
      <w:lvlText w:val="(%1)"/>
      <w:numFmt w:val="lowerLetter"/>
      <w:start w:val="1"/>
    </w:lvl>
  </w:abstractNum>
  <w:abstractNum w:abstractNumId="120">
    <w:nsid w:val="3DB012B3"/>
    <w:multiLevelType w:val="hybridMultilevel"/>
    <w:lvl w:ilvl="0">
      <w:lvlJc w:val="left"/>
      <w:lvlText w:val="(%1)"/>
      <w:numFmt w:val="lowerLetter"/>
      <w:start w:val="1"/>
    </w:lvl>
  </w:abstractNum>
  <w:abstractNum w:abstractNumId="121">
    <w:nsid w:val="2708C9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2019-12-04T22:56:28Z</dcterms:created>
  <dcterms:modified xsi:type="dcterms:W3CDTF">2019-12-04T22:56:28Z</dcterms:modified>
</cp:coreProperties>
</file>