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6" w:right="479" w:bottom="166"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Nwamu Chonda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66"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66"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560"/>
              <w:spacing w:after="0" w:line="359" w:lineRule="exact"/>
              <w:rPr>
                <w:sz w:val="20"/>
                <w:szCs w:val="20"/>
                <w:color w:val="auto"/>
              </w:rPr>
            </w:pPr>
            <w:r>
              <w:rPr>
                <w:rFonts w:ascii="Arial" w:cs="Arial" w:eastAsia="Arial" w:hAnsi="Arial"/>
                <w:sz w:val="39"/>
                <w:szCs w:val="39"/>
                <w:color w:val="0000FF"/>
                <w:vertAlign w:val="subscript"/>
              </w:rPr>
              <w:t>7,615</w:t>
            </w:r>
            <w:r>
              <w:rPr>
                <w:rFonts w:ascii="Arial" w:cs="Arial" w:eastAsia="Arial" w:hAnsi="Arial"/>
                <w:sz w:val="13"/>
                <w:szCs w:val="13"/>
                <w:color w:val="008000"/>
              </w:rPr>
              <w:t>(1)(2)</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80" w:type="dxa"/>
            <w:vAlign w:val="bottom"/>
            <w:tcBorders>
              <w:top w:val="single" w:sz="8" w:color="2C2C2C"/>
            </w:tcBorders>
            <w:gridSpan w:val="6"/>
          </w:tcPr>
          <w:p>
            <w:pPr>
              <w:ind w:left="1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7"/>
              </w:rPr>
              <w:t>BellRing Brands, Inc. Common</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(3)</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ind w:left="200"/>
              <w:spacing w:after="0"/>
              <w:rPr>
                <w:sz w:val="20"/>
                <w:szCs w:val="20"/>
                <w:color w:val="auto"/>
              </w:rPr>
            </w:pPr>
            <w:r>
              <w:rPr>
                <w:rFonts w:ascii="Arial" w:cs="Arial" w:eastAsia="Arial" w:hAnsi="Arial"/>
                <w:sz w:val="20"/>
                <w:szCs w:val="20"/>
                <w:color w:val="0000FF"/>
                <w:w w:val="94"/>
              </w:rPr>
              <w:t>787.063</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(3)</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Equivalents</w:t>
            </w:r>
          </w:p>
        </w:tc>
        <w:tc>
          <w:tcPr>
            <w:tcW w:w="126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28" w:lineRule="exact"/>
        <w:rPr>
          <w:rFonts w:ascii="Arial" w:cs="Arial" w:eastAsia="Arial" w:hAnsi="Arial"/>
          <w:sz w:val="14"/>
          <w:szCs w:val="14"/>
          <w:color w:val="008000"/>
        </w:rPr>
      </w:pPr>
    </w:p>
    <w:p>
      <w:pPr>
        <w:ind w:left="40" w:right="6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unvested restricted stock units of New BellRing received in the Transactions in respect of unvested restricted stock units of Old BellRing previously held by the Reporting Person, which awards continue to be subject to the same terms and conditions of the Old BellRing awards. Such awards may be adjusted to account for the cash consideration payable to stockholders of Old BellRing in the Transactions.</w:t>
      </w:r>
    </w:p>
    <w:p>
      <w:pPr>
        <w:spacing w:after="0" w:line="35" w:lineRule="exact"/>
        <w:rPr>
          <w:rFonts w:ascii="Arial" w:cs="Arial" w:eastAsia="Arial" w:hAnsi="Arial"/>
          <w:sz w:val="15"/>
          <w:szCs w:val="15"/>
          <w:color w:val="008000"/>
        </w:rPr>
      </w:pPr>
    </w:p>
    <w:p>
      <w:pPr>
        <w:ind w:left="40" w:right="100" w:firstLine="5"/>
        <w:spacing w:after="0" w:line="235"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stock equivalents in New BellRing common stock ("Stock Equivalents") which were received by the Reporting Person in connection with the Transactions. The original grant of Class A Common Stock of Old BellRing equivalents (the "Old BellRing Stock Equivalents") were to be distributed (on a one-for-one basis) into shares of Class A Common Stock of Old BellRing upon Reporting Person's retirement from the Board of Directors. The Stock Equivalents have no fixed exercisable or expiration dates. The Old BellRing Stock Equivalents were assumed by New BellRing in connection with the Transactions and replaced with an equal number of Stock Equivalents having the same terms and conditions as the Old BellRing Stock Equivalents. Such award may be adjusted to account for the cash consideration payable to stockholders of Old BellRing in the Transactions.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See attached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Craig L. Rosenthal,</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66"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Craig L. Rosenthal,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BellRing Brands, Inc.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BellRing Brands, Inc. unless earlier revoked in writing. The undersigned acknowledges that Craig L. Rosenthal is not assuming any of the undersigned's responsibilities to comply with Section 16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By: /s/ Chonda J. Nwamu</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ind w:left="4100"/>
        <w:spacing w:after="0" w:line="238" w:lineRule="auto"/>
        <w:rPr>
          <w:sz w:val="20"/>
          <w:szCs w:val="20"/>
          <w:color w:val="auto"/>
        </w:rPr>
      </w:pPr>
      <w:r>
        <w:rPr>
          <w:rFonts w:ascii="Courier New" w:cs="Courier New" w:eastAsia="Courier New" w:hAnsi="Courier New"/>
          <w:sz w:val="20"/>
          <w:szCs w:val="20"/>
          <w:color w:val="auto"/>
        </w:rPr>
        <w:t>Name: Chonda J. Nwamu</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10, 2022</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64398"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2022-03-10T16:37:57Z</dcterms:created>
  <dcterms:modified xsi:type="dcterms:W3CDTF">2022-03-10T16:37:57Z</dcterms:modified>
</cp:coreProperties>
</file>