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______________________</w:t>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116"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Securities Exchange Act of 1934</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Date of Report (Date of earliest event reported): November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78105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BellRing Brands, Inc.</w:t>
      </w:r>
    </w:p>
    <w:p>
      <w:pPr>
        <w:spacing w:after="0" w:line="110" w:lineRule="exact"/>
        <w:rPr>
          <w:sz w:val="24"/>
          <w:szCs w:val="24"/>
          <w:color w:val="auto"/>
        </w:rPr>
      </w:pPr>
    </w:p>
    <w:tbl>
      <w:tblPr>
        <w:tblLayout w:type="fixed"/>
        <w:tblInd w:w="128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0"/>
              </w:rPr>
              <w:t>(Exact name of registrant as specified in its charter)</w:t>
            </w:r>
          </w:p>
        </w:tc>
        <w:tc>
          <w:tcPr>
            <w:tcW w:w="2280" w:type="dxa"/>
            <w:vAlign w:val="bottom"/>
          </w:tcPr>
          <w:p>
            <w:pPr>
              <w:spacing w:after="0"/>
              <w:rPr>
                <w:sz w:val="13"/>
                <w:szCs w:val="13"/>
                <w:color w:val="auto"/>
              </w:rPr>
            </w:pPr>
          </w:p>
        </w:tc>
      </w:tr>
      <w:tr>
        <w:trPr>
          <w:trHeight w:val="180"/>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4"/>
              </w:rPr>
              <w:t>Delaware</w:t>
            </w:r>
          </w:p>
        </w:tc>
        <w:tc>
          <w:tcPr>
            <w:tcW w:w="1340" w:type="dxa"/>
            <w:vAlign w:val="bottom"/>
          </w:tcPr>
          <w:p>
            <w:pPr>
              <w:spacing w:after="0"/>
              <w:rPr>
                <w:sz w:val="15"/>
                <w:szCs w:val="15"/>
                <w:color w:val="auto"/>
              </w:rPr>
            </w:pPr>
          </w:p>
        </w:tc>
        <w:tc>
          <w:tcPr>
            <w:tcW w:w="2260" w:type="dxa"/>
            <w:vAlign w:val="bottom"/>
          </w:tcPr>
          <w:p>
            <w:pPr>
              <w:jc w:val="center"/>
              <w:ind w:right="1394"/>
              <w:spacing w:after="0"/>
              <w:rPr>
                <w:sz w:val="20"/>
                <w:szCs w:val="20"/>
                <w:color w:val="auto"/>
              </w:rPr>
            </w:pPr>
            <w:r>
              <w:rPr>
                <w:rFonts w:ascii="Arial" w:cs="Arial" w:eastAsia="Arial" w:hAnsi="Arial"/>
                <w:sz w:val="13"/>
                <w:szCs w:val="13"/>
                <w:b w:val="1"/>
                <w:bCs w:val="1"/>
                <w:color w:val="auto"/>
                <w:w w:val="90"/>
              </w:rPr>
              <w:t>001-39093</w:t>
            </w:r>
          </w:p>
        </w:tc>
        <w:tc>
          <w:tcPr>
            <w:tcW w:w="2280" w:type="dxa"/>
            <w:vAlign w:val="bottom"/>
          </w:tcPr>
          <w:p>
            <w:pPr>
              <w:jc w:val="right"/>
              <w:ind w:right="437"/>
              <w:spacing w:after="0"/>
              <w:rPr>
                <w:sz w:val="20"/>
                <w:szCs w:val="20"/>
                <w:color w:val="auto"/>
              </w:rPr>
            </w:pPr>
            <w:r>
              <w:rPr>
                <w:rFonts w:ascii="Arial" w:cs="Arial" w:eastAsia="Arial" w:hAnsi="Arial"/>
                <w:sz w:val="13"/>
                <w:szCs w:val="13"/>
                <w:b w:val="1"/>
                <w:bCs w:val="1"/>
                <w:color w:val="auto"/>
              </w:rPr>
              <w:t>83-4096323</w:t>
            </w:r>
          </w:p>
        </w:tc>
      </w:tr>
      <w:tr>
        <w:trPr>
          <w:trHeight w:val="153"/>
        </w:trPr>
        <w:tc>
          <w:tcPr>
            <w:tcW w:w="2620" w:type="dxa"/>
            <w:vAlign w:val="bottom"/>
          </w:tcPr>
          <w:p>
            <w:pPr>
              <w:jc w:val="center"/>
              <w:ind w:right="457"/>
              <w:spacing w:after="0"/>
              <w:rPr>
                <w:sz w:val="20"/>
                <w:szCs w:val="20"/>
                <w:color w:val="auto"/>
              </w:rPr>
            </w:pPr>
            <w:r>
              <w:rPr>
                <w:rFonts w:ascii="Arial" w:cs="Arial" w:eastAsia="Arial" w:hAnsi="Arial"/>
                <w:sz w:val="12"/>
                <w:szCs w:val="12"/>
                <w:color w:val="auto"/>
                <w:w w:val="92"/>
              </w:rPr>
              <w:t>(State or other jurisdiction of incorporation)</w:t>
            </w: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2"/>
              </w:rPr>
              <w:t>(Commission File Number)</w:t>
            </w:r>
          </w:p>
        </w:tc>
        <w:tc>
          <w:tcPr>
            <w:tcW w:w="2280" w:type="dxa"/>
            <w:vAlign w:val="bottom"/>
          </w:tcPr>
          <w:p>
            <w:pPr>
              <w:jc w:val="center"/>
              <w:ind w:left="557"/>
              <w:spacing w:after="0"/>
              <w:rPr>
                <w:sz w:val="20"/>
                <w:szCs w:val="20"/>
                <w:color w:val="auto"/>
              </w:rPr>
            </w:pPr>
            <w:r>
              <w:rPr>
                <w:rFonts w:ascii="Arial" w:cs="Arial" w:eastAsia="Arial" w:hAnsi="Arial"/>
                <w:sz w:val="12"/>
                <w:szCs w:val="12"/>
                <w:color w:val="auto"/>
                <w:w w:val="94"/>
              </w:rPr>
              <w:t>(IRS Employer Identification No.)</w:t>
            </w:r>
          </w:p>
        </w:tc>
      </w:tr>
      <w:tr>
        <w:trPr>
          <w:trHeight w:val="387"/>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2"/>
              </w:rPr>
              <w:t>2503 S. Hanley Road</w:t>
            </w:r>
          </w:p>
        </w:tc>
        <w:tc>
          <w:tcPr>
            <w:tcW w:w="1340" w:type="dxa"/>
            <w:vAlign w:val="bottom"/>
          </w:tcPr>
          <w:p>
            <w:pPr>
              <w:ind w:left="740"/>
              <w:spacing w:after="0"/>
              <w:rPr>
                <w:sz w:val="20"/>
                <w:szCs w:val="20"/>
                <w:color w:val="auto"/>
              </w:rPr>
            </w:pPr>
            <w:r>
              <w:rPr>
                <w:rFonts w:ascii="Arial" w:cs="Arial" w:eastAsia="Arial" w:hAnsi="Arial"/>
                <w:sz w:val="13"/>
                <w:szCs w:val="13"/>
                <w:b w:val="1"/>
                <w:bCs w:val="1"/>
                <w:color w:val="auto"/>
              </w:rPr>
              <w:t>St. Louis</w:t>
            </w:r>
          </w:p>
        </w:tc>
        <w:tc>
          <w:tcPr>
            <w:tcW w:w="2260" w:type="dxa"/>
            <w:vAlign w:val="bottom"/>
          </w:tcPr>
          <w:p>
            <w:pPr>
              <w:ind w:left="1060"/>
              <w:spacing w:after="0"/>
              <w:rPr>
                <w:sz w:val="20"/>
                <w:szCs w:val="20"/>
                <w:color w:val="auto"/>
              </w:rPr>
            </w:pPr>
            <w:r>
              <w:rPr>
                <w:rFonts w:ascii="Arial" w:cs="Arial" w:eastAsia="Arial" w:hAnsi="Arial"/>
                <w:sz w:val="13"/>
                <w:szCs w:val="13"/>
                <w:b w:val="1"/>
                <w:bCs w:val="1"/>
                <w:color w:val="auto"/>
              </w:rPr>
              <w:t>Missouri</w:t>
            </w:r>
          </w:p>
        </w:tc>
        <w:tc>
          <w:tcPr>
            <w:tcW w:w="2280" w:type="dxa"/>
            <w:vAlign w:val="bottom"/>
          </w:tcPr>
          <w:p>
            <w:pPr>
              <w:jc w:val="right"/>
              <w:ind w:right="597"/>
              <w:spacing w:after="0"/>
              <w:rPr>
                <w:sz w:val="20"/>
                <w:szCs w:val="20"/>
                <w:color w:val="auto"/>
              </w:rPr>
            </w:pPr>
            <w:r>
              <w:rPr>
                <w:rFonts w:ascii="Arial" w:cs="Arial" w:eastAsia="Arial" w:hAnsi="Arial"/>
                <w:sz w:val="13"/>
                <w:szCs w:val="13"/>
                <w:b w:val="1"/>
                <w:bCs w:val="1"/>
                <w:color w:val="auto"/>
              </w:rPr>
              <w:t>63144</w:t>
            </w:r>
          </w:p>
        </w:tc>
      </w:tr>
      <w:tr>
        <w:trPr>
          <w:trHeight w:val="153"/>
        </w:trPr>
        <w:tc>
          <w:tcPr>
            <w:tcW w:w="3960" w:type="dxa"/>
            <w:vAlign w:val="bottom"/>
            <w:gridSpan w:val="2"/>
          </w:tcPr>
          <w:p>
            <w:pPr>
              <w:ind w:left="1720"/>
              <w:spacing w:after="0"/>
              <w:rPr>
                <w:sz w:val="20"/>
                <w:szCs w:val="20"/>
                <w:color w:val="auto"/>
              </w:rPr>
            </w:pPr>
            <w:r>
              <w:rPr>
                <w:rFonts w:ascii="Arial" w:cs="Arial" w:eastAsia="Arial" w:hAnsi="Arial"/>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Arial" w:cs="Arial" w:eastAsia="Arial" w:hAnsi="Arial"/>
                <w:sz w:val="12"/>
                <w:szCs w:val="12"/>
                <w:color w:val="auto"/>
                <w:w w:val="91"/>
              </w:rPr>
              <w:t>(Zip Code)</w:t>
            </w:r>
          </w:p>
        </w:tc>
      </w:tr>
    </w:tbl>
    <w:p>
      <w:pPr>
        <w:spacing w:after="0" w:line="120" w:lineRule="exact"/>
        <w:rPr>
          <w:sz w:val="24"/>
          <w:szCs w:val="24"/>
          <w:color w:val="auto"/>
        </w:rPr>
      </w:pPr>
    </w:p>
    <w:p>
      <w:pPr>
        <w:ind w:left="3980"/>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8" w:lineRule="exact"/>
        <w:rPr>
          <w:sz w:val="24"/>
          <w:szCs w:val="24"/>
          <w:color w:val="auto"/>
        </w:rPr>
      </w:pPr>
    </w:p>
    <w:p>
      <w:pPr>
        <w:ind w:left="440" w:hanging="232"/>
        <w:spacing w:after="0"/>
        <w:tabs>
          <w:tab w:leader="none" w:pos="4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800" w:type="dxa"/>
            <w:vAlign w:val="bottom"/>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380" w:type="dxa"/>
            <w:vAlign w:val="bottom"/>
            <w:gridSpan w:val="2"/>
          </w:tcPr>
          <w:p>
            <w:pPr>
              <w:jc w:val="center"/>
              <w:ind w:right="1520"/>
              <w:spacing w:after="0"/>
              <w:rPr>
                <w:sz w:val="20"/>
                <w:szCs w:val="20"/>
                <w:color w:val="auto"/>
              </w:rPr>
            </w:pPr>
            <w:r>
              <w:rPr>
                <w:rFonts w:ascii="Arial" w:cs="Arial" w:eastAsia="Arial" w:hAnsi="Arial"/>
                <w:sz w:val="12"/>
                <w:szCs w:val="12"/>
                <w:color w:val="auto"/>
                <w:w w:val="89"/>
              </w:rPr>
              <w:t>Title of each class</w:t>
            </w:r>
          </w:p>
        </w:tc>
        <w:tc>
          <w:tcPr>
            <w:tcW w:w="2380" w:type="dxa"/>
            <w:vAlign w:val="bottom"/>
            <w:gridSpan w:val="3"/>
          </w:tcPr>
          <w:p>
            <w:pPr>
              <w:jc w:val="center"/>
              <w:ind w:right="120"/>
              <w:spacing w:after="0"/>
              <w:rPr>
                <w:sz w:val="20"/>
                <w:szCs w:val="20"/>
                <w:color w:val="auto"/>
              </w:rPr>
            </w:pPr>
            <w:r>
              <w:rPr>
                <w:rFonts w:ascii="Arial" w:cs="Arial" w:eastAsia="Arial" w:hAnsi="Arial"/>
                <w:sz w:val="12"/>
                <w:szCs w:val="12"/>
                <w:color w:val="auto"/>
                <w:w w:val="91"/>
              </w:rPr>
              <w:t>Trading Symbol(s)</w:t>
            </w:r>
          </w:p>
        </w:tc>
        <w:tc>
          <w:tcPr>
            <w:tcW w:w="2920" w:type="dxa"/>
            <w:vAlign w:val="bottom"/>
            <w:gridSpan w:val="2"/>
          </w:tcPr>
          <w:p>
            <w:pPr>
              <w:jc w:val="center"/>
              <w:ind w:left="740"/>
              <w:spacing w:after="0"/>
              <w:rPr>
                <w:sz w:val="20"/>
                <w:szCs w:val="20"/>
                <w:color w:val="auto"/>
              </w:rPr>
            </w:pPr>
            <w:r>
              <w:rPr>
                <w:rFonts w:ascii="Arial" w:cs="Arial" w:eastAsia="Arial" w:hAnsi="Arial"/>
                <w:sz w:val="12"/>
                <w:szCs w:val="12"/>
                <w:color w:val="auto"/>
                <w:w w:val="8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Class A Common Stock, $0.01 par value per share</w:t>
            </w:r>
          </w:p>
        </w:tc>
        <w:tc>
          <w:tcPr>
            <w:tcW w:w="6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97"/>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bl>
    <w:p>
      <w:pPr>
        <w:spacing w:after="0" w:line="126" w:lineRule="exact"/>
        <w:rPr>
          <w:sz w:val="24"/>
          <w:szCs w:val="24"/>
          <w:color w:val="auto"/>
        </w:rPr>
      </w:pPr>
    </w:p>
    <w:p>
      <w:pPr>
        <w:ind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0" w:lineRule="exact"/>
        <w:rPr>
          <w:sz w:val="24"/>
          <w:szCs w:val="24"/>
          <w:color w:val="auto"/>
        </w:rPr>
      </w:pPr>
    </w:p>
    <w:p>
      <w:pPr>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14"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582295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-44450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-27305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9" w:right="399" w:bottom="1440" w:gutter="0" w:footer="0" w:header="0"/>
        </w:sectPr>
      </w:pPr>
    </w:p>
    <w:bookmarkStart w:id="1" w:name="page2"/>
    <w:bookmarkEnd w:id="1"/>
    <w:p>
      <w:pPr>
        <w:spacing w:after="0"/>
        <w:tabs>
          <w:tab w:leader="none" w:pos="60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 and Financial Condition.</w:t>
      </w:r>
    </w:p>
    <w:p>
      <w:pPr>
        <w:spacing w:after="0" w:line="172" w:lineRule="exact"/>
        <w:rPr>
          <w:sz w:val="20"/>
          <w:szCs w:val="20"/>
          <w:color w:val="auto"/>
        </w:rPr>
      </w:pPr>
    </w:p>
    <w:p>
      <w:pPr>
        <w:ind w:right="40"/>
        <w:spacing w:after="0" w:line="340" w:lineRule="auto"/>
        <w:rPr>
          <w:sz w:val="20"/>
          <w:szCs w:val="20"/>
          <w:color w:val="auto"/>
        </w:rPr>
      </w:pPr>
      <w:r>
        <w:rPr>
          <w:rFonts w:ascii="Arial" w:cs="Arial" w:eastAsia="Arial" w:hAnsi="Arial"/>
          <w:sz w:val="10"/>
          <w:szCs w:val="10"/>
          <w:color w:val="auto"/>
        </w:rPr>
        <w:t>On November 18, 2021, BellRing Brands, Inc. (the "Company") issued a press release announcing results for its fourth fiscal quarter and fiscal year ended September 30, 2021 and providing a financial outlook for fiscal year 2022. A copy of the press release is attached hereto as Exhibit 99.1 and incorporated herein by reference. In addition, on November 18, 2021, the Company published to the "Investor Relations" section of its website, www.bellringbrands.com, a supplemental presentation related to results for its fourth fiscal quarter and fiscal year ended September 30, 2021. A copy of the presentation is attached hereto as Exhibit 99.2 and incorporated herein by reference.</w:t>
      </w:r>
    </w:p>
    <w:p>
      <w:pPr>
        <w:spacing w:after="0" w:line="10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(d) Exhibits</w:t>
            </w: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60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Arial" w:cs="Arial" w:eastAsia="Arial" w:hAnsi="Arial"/>
                <w:sz w:val="12"/>
                <w:szCs w:val="12"/>
                <w:color w:val="auto"/>
              </w:rPr>
              <w:t>Exhibit No.</w:t>
            </w:r>
          </w:p>
        </w:tc>
        <w:tc>
          <w:tcPr>
            <w:tcW w:w="9040" w:type="dxa"/>
            <w:vAlign w:val="bottom"/>
            <w:gridSpan w:val="4"/>
          </w:tcPr>
          <w:p>
            <w:pPr>
              <w:spacing w:after="0"/>
              <w:rPr>
                <w:sz w:val="20"/>
                <w:szCs w:val="20"/>
                <w:color w:val="auto"/>
              </w:rPr>
            </w:pPr>
            <w:r>
              <w:rPr>
                <w:rFonts w:ascii="Arial" w:cs="Arial" w:eastAsia="Arial" w:hAnsi="Arial"/>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Arial" w:cs="Arial" w:eastAsia="Arial" w:hAnsi="Arial"/>
                <w:sz w:val="12"/>
                <w:szCs w:val="12"/>
                <w:color w:val="auto"/>
              </w:rPr>
              <w:t>99.1</w:t>
            </w:r>
          </w:p>
        </w:tc>
        <w:tc>
          <w:tcPr>
            <w:tcW w:w="1700" w:type="dxa"/>
            <w:vAlign w:val="bottom"/>
          </w:tcPr>
          <w:p>
            <w:pPr>
              <w:spacing w:after="0"/>
              <w:rPr>
                <w:sz w:val="20"/>
                <w:szCs w:val="20"/>
                <w:color w:val="auto"/>
              </w:rPr>
            </w:pPr>
          </w:p>
        </w:tc>
        <w:tc>
          <w:tcPr>
            <w:tcW w:w="9040" w:type="dxa"/>
            <w:vAlign w:val="bottom"/>
            <w:gridSpan w:val="4"/>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Press Release dated November 18, 2021</w:t>
              </w:r>
            </w:hyperlink>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33"/>
        </w:trPr>
        <w:tc>
          <w:tcPr>
            <w:tcW w:w="56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1700" w:type="dxa"/>
            <w:vAlign w:val="bottom"/>
          </w:tcPr>
          <w:p>
            <w:pPr>
              <w:spacing w:after="0"/>
              <w:rPr>
                <w:sz w:val="11"/>
                <w:szCs w:val="11"/>
                <w:color w:val="auto"/>
              </w:rPr>
            </w:pPr>
          </w:p>
        </w:tc>
        <w:tc>
          <w:tcPr>
            <w:tcW w:w="4440" w:type="dxa"/>
            <w:vAlign w:val="bottom"/>
            <w:tcBorders>
              <w:bottom w:val="single" w:sz="8" w:color="0000FF"/>
            </w:tcBorders>
            <w:gridSpan w:val="3"/>
          </w:tcPr>
          <w:p>
            <w:pPr>
              <w:spacing w:after="0" w:line="133" w:lineRule="exact"/>
              <w:rPr>
                <w:rFonts w:ascii="Arial" w:cs="Arial" w:eastAsia="Arial" w:hAnsi="Arial"/>
                <w:sz w:val="12"/>
                <w:szCs w:val="12"/>
                <w:color w:val="0000FF"/>
                <w:w w:val="88"/>
              </w:rPr>
            </w:pPr>
            <w:hyperlink w:anchor="page17">
              <w:r>
                <w:rPr>
                  <w:rFonts w:ascii="Arial" w:cs="Arial" w:eastAsia="Arial" w:hAnsi="Arial"/>
                  <w:sz w:val="12"/>
                  <w:szCs w:val="12"/>
                  <w:color w:val="0000FF"/>
                  <w:w w:val="88"/>
                </w:rPr>
                <w:t>Fourth Fiscal Quarter and Fiscal Year Ended September 30, 2021 Supplemental Presentation</w:t>
              </w:r>
            </w:hyperlink>
          </w:p>
        </w:tc>
        <w:tc>
          <w:tcPr>
            <w:tcW w:w="4600" w:type="dxa"/>
            <w:vAlign w:val="bottom"/>
          </w:tcPr>
          <w:p>
            <w:pPr>
              <w:spacing w:after="0"/>
              <w:rPr>
                <w:sz w:val="11"/>
                <w:szCs w:val="11"/>
                <w:color w:val="auto"/>
              </w:rPr>
            </w:pPr>
          </w:p>
        </w:tc>
      </w:tr>
      <w:tr>
        <w:trPr>
          <w:trHeight w:val="160"/>
        </w:trPr>
        <w:tc>
          <w:tcPr>
            <w:tcW w:w="560" w:type="dxa"/>
            <w:vAlign w:val="bottom"/>
          </w:tcPr>
          <w:p>
            <w:pPr>
              <w:spacing w:after="0"/>
              <w:rPr>
                <w:sz w:val="20"/>
                <w:szCs w:val="20"/>
                <w:color w:val="auto"/>
              </w:rPr>
            </w:pPr>
            <w:r>
              <w:rPr>
                <w:rFonts w:ascii="Arial" w:cs="Arial" w:eastAsia="Arial" w:hAnsi="Arial"/>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Arial" w:cs="Arial" w:eastAsia="Arial" w:hAnsi="Arial"/>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2"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0" w:type="dxa"/>
            <w:vAlign w:val="bottom"/>
          </w:tcPr>
          <w:p>
            <w:pPr>
              <w:spacing w:after="0"/>
              <w:rPr>
                <w:sz w:val="20"/>
                <w:szCs w:val="20"/>
                <w:color w:val="auto"/>
              </w:rPr>
            </w:pPr>
            <w:r>
              <w:rPr>
                <w:rFonts w:ascii="Arial" w:cs="Arial" w:eastAsia="Arial" w:hAnsi="Arial"/>
                <w:sz w:val="12"/>
                <w:szCs w:val="12"/>
                <w:color w:val="auto"/>
              </w:rPr>
              <w:t>Date: November 18, 2021</w:t>
            </w:r>
          </w:p>
        </w:tc>
        <w:tc>
          <w:tcPr>
            <w:tcW w:w="7680" w:type="dxa"/>
            <w:vAlign w:val="bottom"/>
            <w:gridSpan w:val="2"/>
          </w:tcPr>
          <w:p>
            <w:pPr>
              <w:ind w:left="2140"/>
              <w:spacing w:after="0"/>
              <w:rPr>
                <w:sz w:val="20"/>
                <w:szCs w:val="20"/>
                <w:color w:val="auto"/>
              </w:rPr>
            </w:pPr>
            <w:r>
              <w:rPr>
                <w:rFonts w:ascii="Arial" w:cs="Arial" w:eastAsia="Arial" w:hAnsi="Arial"/>
                <w:sz w:val="12"/>
                <w:szCs w:val="12"/>
                <w:b w:val="1"/>
                <w:bCs w:val="1"/>
                <w:color w:val="auto"/>
              </w:rPr>
              <w:t>BellRing Brands, Inc.</w:t>
            </w:r>
          </w:p>
        </w:tc>
      </w:tr>
      <w:tr>
        <w:trPr>
          <w:trHeight w:val="225"/>
        </w:trPr>
        <w:tc>
          <w:tcPr>
            <w:tcW w:w="3400" w:type="dxa"/>
            <w:vAlign w:val="bottom"/>
          </w:tcPr>
          <w:p>
            <w:pPr>
              <w:spacing w:after="0"/>
              <w:rPr>
                <w:sz w:val="19"/>
                <w:szCs w:val="19"/>
                <w:color w:val="auto"/>
              </w:rPr>
            </w:pPr>
          </w:p>
        </w:tc>
        <w:tc>
          <w:tcPr>
            <w:tcW w:w="3060" w:type="dxa"/>
            <w:vAlign w:val="bottom"/>
          </w:tcPr>
          <w:p>
            <w:pPr>
              <w:ind w:left="2140"/>
              <w:spacing w:after="0"/>
              <w:rPr>
                <w:sz w:val="20"/>
                <w:szCs w:val="20"/>
                <w:color w:val="auto"/>
              </w:rPr>
            </w:pPr>
            <w:r>
              <w:rPr>
                <w:rFonts w:ascii="Arial" w:cs="Arial" w:eastAsia="Arial" w:hAnsi="Arial"/>
                <w:sz w:val="12"/>
                <w:szCs w:val="12"/>
                <w:color w:val="auto"/>
              </w:rPr>
              <w:t>(Registrant)</w:t>
            </w:r>
          </w:p>
        </w:tc>
        <w:tc>
          <w:tcPr>
            <w:tcW w:w="4620" w:type="dxa"/>
            <w:vAlign w:val="bottom"/>
          </w:tcPr>
          <w:p>
            <w:pPr>
              <w:spacing w:after="0"/>
              <w:rPr>
                <w:sz w:val="19"/>
                <w:szCs w:val="19"/>
                <w:color w:val="auto"/>
              </w:rPr>
            </w:pPr>
          </w:p>
        </w:tc>
      </w:tr>
      <w:tr>
        <w:trPr>
          <w:trHeight w:val="450"/>
        </w:trPr>
        <w:tc>
          <w:tcPr>
            <w:tcW w:w="3400" w:type="dxa"/>
            <w:vAlign w:val="bottom"/>
          </w:tcPr>
          <w:p>
            <w:pPr>
              <w:spacing w:after="0"/>
              <w:rPr>
                <w:sz w:val="24"/>
                <w:szCs w:val="24"/>
                <w:color w:val="auto"/>
              </w:rPr>
            </w:pPr>
          </w:p>
        </w:tc>
        <w:tc>
          <w:tcPr>
            <w:tcW w:w="3060" w:type="dxa"/>
            <w:vAlign w:val="bottom"/>
          </w:tcPr>
          <w:p>
            <w:pPr>
              <w:ind w:left="2140"/>
              <w:spacing w:after="0"/>
              <w:rPr>
                <w:sz w:val="20"/>
                <w:szCs w:val="20"/>
                <w:color w:val="auto"/>
              </w:rPr>
            </w:pPr>
            <w:r>
              <w:rPr>
                <w:rFonts w:ascii="Arial" w:cs="Arial" w:eastAsia="Arial" w:hAnsi="Arial"/>
                <w:sz w:val="12"/>
                <w:szCs w:val="12"/>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Paul A. Rode</w:t>
            </w:r>
          </w:p>
        </w:tc>
      </w:tr>
      <w:tr>
        <w:trPr>
          <w:trHeight w:val="205"/>
        </w:trPr>
        <w:tc>
          <w:tcPr>
            <w:tcW w:w="3400" w:type="dxa"/>
            <w:vAlign w:val="bottom"/>
          </w:tcPr>
          <w:p>
            <w:pPr>
              <w:spacing w:after="0"/>
              <w:rPr>
                <w:sz w:val="17"/>
                <w:szCs w:val="17"/>
                <w:color w:val="auto"/>
              </w:rPr>
            </w:pPr>
          </w:p>
        </w:tc>
        <w:tc>
          <w:tcPr>
            <w:tcW w:w="3060" w:type="dxa"/>
            <w:vAlign w:val="bottom"/>
          </w:tcPr>
          <w:p>
            <w:pPr>
              <w:ind w:left="2140"/>
              <w:spacing w:after="0"/>
              <w:rPr>
                <w:sz w:val="20"/>
                <w:szCs w:val="20"/>
                <w:color w:val="auto"/>
              </w:rPr>
            </w:pPr>
            <w:r>
              <w:rPr>
                <w:rFonts w:ascii="Arial" w:cs="Arial" w:eastAsia="Arial" w:hAnsi="Arial"/>
                <w:sz w:val="12"/>
                <w:szCs w:val="12"/>
                <w:color w:val="auto"/>
              </w:rPr>
              <w:t>Name:</w:t>
            </w:r>
          </w:p>
        </w:tc>
        <w:tc>
          <w:tcPr>
            <w:tcW w:w="4620" w:type="dxa"/>
            <w:vAlign w:val="bottom"/>
          </w:tcPr>
          <w:p>
            <w:pPr>
              <w:spacing w:after="0"/>
              <w:rPr>
                <w:sz w:val="20"/>
                <w:szCs w:val="20"/>
                <w:color w:val="auto"/>
              </w:rPr>
            </w:pPr>
            <w:r>
              <w:rPr>
                <w:rFonts w:ascii="Arial" w:cs="Arial" w:eastAsia="Arial" w:hAnsi="Arial"/>
                <w:sz w:val="12"/>
                <w:szCs w:val="12"/>
                <w:color w:val="auto"/>
              </w:rPr>
              <w:t>Paul A. Rode</w:t>
            </w:r>
          </w:p>
        </w:tc>
      </w:tr>
      <w:tr>
        <w:trPr>
          <w:trHeight w:val="153"/>
        </w:trPr>
        <w:tc>
          <w:tcPr>
            <w:tcW w:w="3400" w:type="dxa"/>
            <w:vAlign w:val="bottom"/>
          </w:tcPr>
          <w:p>
            <w:pPr>
              <w:spacing w:after="0"/>
              <w:rPr>
                <w:sz w:val="13"/>
                <w:szCs w:val="13"/>
                <w:color w:val="auto"/>
              </w:rPr>
            </w:pPr>
          </w:p>
        </w:tc>
        <w:tc>
          <w:tcPr>
            <w:tcW w:w="3060" w:type="dxa"/>
            <w:vAlign w:val="bottom"/>
          </w:tcPr>
          <w:p>
            <w:pPr>
              <w:ind w:left="2140"/>
              <w:spacing w:after="0"/>
              <w:rPr>
                <w:sz w:val="20"/>
                <w:szCs w:val="20"/>
                <w:color w:val="auto"/>
              </w:rPr>
            </w:pPr>
            <w:r>
              <w:rPr>
                <w:rFonts w:ascii="Arial" w:cs="Arial" w:eastAsia="Arial" w:hAnsi="Arial"/>
                <w:sz w:val="12"/>
                <w:szCs w:val="12"/>
                <w:color w:val="auto"/>
              </w:rPr>
              <w:t>Title:</w:t>
            </w:r>
          </w:p>
        </w:tc>
        <w:tc>
          <w:tcPr>
            <w:tcW w:w="462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080"/>
          </w:cols>
          <w:pgMar w:left="300" w:top="1157"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00012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0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BellRing Brands Reports Results for the Fourth Quarter and Fiscal Year 2021</w:t>
      </w:r>
    </w:p>
    <w:p>
      <w:pPr>
        <w:spacing w:after="0" w:line="148" w:lineRule="exact"/>
        <w:rPr>
          <w:sz w:val="20"/>
          <w:szCs w:val="20"/>
          <w:color w:val="auto"/>
        </w:rPr>
      </w:pPr>
    </w:p>
    <w:p>
      <w:pPr>
        <w:ind w:right="200"/>
        <w:spacing w:after="0" w:line="283" w:lineRule="auto"/>
        <w:rPr>
          <w:sz w:val="20"/>
          <w:szCs w:val="20"/>
          <w:color w:val="auto"/>
        </w:rPr>
      </w:pPr>
      <w:r>
        <w:rPr>
          <w:rFonts w:ascii="Arial" w:cs="Arial" w:eastAsia="Arial" w:hAnsi="Arial"/>
          <w:sz w:val="12"/>
          <w:szCs w:val="12"/>
          <w:b w:val="1"/>
          <w:bCs w:val="1"/>
          <w:color w:val="auto"/>
        </w:rPr>
        <w:t xml:space="preserve">St. Louis - November 18, 2021 </w:t>
      </w:r>
      <w:r>
        <w:rPr>
          <w:rFonts w:ascii="Arial" w:cs="Arial" w:eastAsia="Arial" w:hAnsi="Arial"/>
          <w:sz w:val="12"/>
          <w:szCs w:val="12"/>
          <w:color w:val="auto"/>
        </w:rPr>
        <w:t>- BellRing Brands, Inc. (NYSE:BRBR) (“BellRing”), a holding company operating in the global convenient nutrition category, today reported results for the fourth fiscal quarter and fiscal year ended</w:t>
      </w:r>
      <w:r>
        <w:rPr>
          <w:rFonts w:ascii="Arial" w:cs="Arial" w:eastAsia="Arial" w:hAnsi="Arial"/>
          <w:sz w:val="12"/>
          <w:szCs w:val="12"/>
          <w:b w:val="1"/>
          <w:bCs w:val="1"/>
          <w:color w:val="auto"/>
        </w:rPr>
        <w:t xml:space="preserve"> </w:t>
      </w:r>
      <w:r>
        <w:rPr>
          <w:rFonts w:ascii="Arial" w:cs="Arial" w:eastAsia="Arial" w:hAnsi="Arial"/>
          <w:sz w:val="12"/>
          <w:szCs w:val="12"/>
          <w:color w:val="auto"/>
        </w:rPr>
        <w:t>September 30, 2021.</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Fourth quarter net sales of $340.0 million; operating profit of $53.1 million; net earnings available to Class A common stockholders of $9.7 million and Adjusted EBITDA of $60.5 million</w:t>
      </w:r>
    </w:p>
    <w:p>
      <w:pPr>
        <w:spacing w:after="0" w:line="18"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Fiscal year net sales of $1,247.1 million; operating profit of $168.0 million; net earnings available to Class A common stockholders of $27.6 million and Adjusted EBITDA of $233.9 million</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Announces agreement with Post to increase RTD shake production</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Fiscal year 2022 net sales and Adjusted EBITDA expected to range between $1.36-$1.41 billion and $255-$265 million,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Fourth Quarter Operating Results</w:t>
      </w:r>
    </w:p>
    <w:p>
      <w:pPr>
        <w:spacing w:after="0" w:line="118" w:lineRule="exact"/>
        <w:rPr>
          <w:sz w:val="20"/>
          <w:szCs w:val="20"/>
          <w:color w:val="auto"/>
        </w:rPr>
      </w:pPr>
    </w:p>
    <w:p>
      <w:pPr>
        <w:ind w:right="20"/>
        <w:spacing w:after="0" w:line="313" w:lineRule="auto"/>
        <w:rPr>
          <w:sz w:val="20"/>
          <w:szCs w:val="20"/>
          <w:color w:val="auto"/>
        </w:rPr>
      </w:pPr>
      <w:r>
        <w:rPr>
          <w:rFonts w:ascii="Arial" w:cs="Arial" w:eastAsia="Arial" w:hAnsi="Arial"/>
          <w:sz w:val="10"/>
          <w:szCs w:val="10"/>
          <w:color w:val="auto"/>
        </w:rPr>
        <w:t xml:space="preserve">Net sales were $340.0 million, an increase of 20.3%, or $57.4 million, compared to the prior year period. </w:t>
      </w:r>
      <w:r>
        <w:rPr>
          <w:rFonts w:ascii="Arial" w:cs="Arial" w:eastAsia="Arial" w:hAnsi="Arial"/>
          <w:sz w:val="10"/>
          <w:szCs w:val="10"/>
          <w:i w:val="1"/>
          <w:iCs w:val="1"/>
          <w:color w:val="auto"/>
        </w:rPr>
        <w:t>Premier Protein</w:t>
      </w:r>
      <w:r>
        <w:rPr>
          <w:rFonts w:ascii="Arial" w:cs="Arial" w:eastAsia="Arial" w:hAnsi="Arial"/>
          <w:sz w:val="10"/>
          <w:szCs w:val="10"/>
          <w:color w:val="auto"/>
        </w:rPr>
        <w:t xml:space="preserve"> net sales increased 18.2%, with volumes up 13.6%, and </w:t>
      </w:r>
      <w:r>
        <w:rPr>
          <w:rFonts w:ascii="Arial" w:cs="Arial" w:eastAsia="Arial" w:hAnsi="Arial"/>
          <w:sz w:val="10"/>
          <w:szCs w:val="10"/>
          <w:i w:val="1"/>
          <w:iCs w:val="1"/>
          <w:color w:val="auto"/>
        </w:rPr>
        <w:t>Premier Protein</w:t>
      </w:r>
      <w:r>
        <w:rPr>
          <w:rFonts w:ascii="Arial" w:cs="Arial" w:eastAsia="Arial" w:hAnsi="Arial"/>
          <w:sz w:val="10"/>
          <w:szCs w:val="10"/>
          <w:color w:val="auto"/>
        </w:rPr>
        <w:t xml:space="preserve"> ready-to-drink (“RTD”) shake net sales increased 18.5%, with volumes up 13.6%. </w:t>
      </w:r>
      <w:r>
        <w:rPr>
          <w:rFonts w:ascii="Arial" w:cs="Arial" w:eastAsia="Arial" w:hAnsi="Arial"/>
          <w:sz w:val="10"/>
          <w:szCs w:val="10"/>
          <w:i w:val="1"/>
          <w:iCs w:val="1"/>
          <w:color w:val="auto"/>
        </w:rPr>
        <w:t>Premier Protein</w:t>
      </w:r>
      <w:r>
        <w:rPr>
          <w:rFonts w:ascii="Arial" w:cs="Arial" w:eastAsia="Arial" w:hAnsi="Arial"/>
          <w:sz w:val="10"/>
          <w:szCs w:val="10"/>
          <w:color w:val="auto"/>
        </w:rPr>
        <w:t xml:space="preserve"> net sales benefited from (i) RTD shake distribution gains for both existing and new products, (ii) strong velocities driven in part by promotional activity and continued category momentum and (iii) higher average net selling prices driven by price increases to offset cost inflation. Dollar consumption of </w:t>
      </w:r>
      <w:r>
        <w:rPr>
          <w:rFonts w:ascii="Arial" w:cs="Arial" w:eastAsia="Arial" w:hAnsi="Arial"/>
          <w:sz w:val="10"/>
          <w:szCs w:val="10"/>
          <w:i w:val="1"/>
          <w:iCs w:val="1"/>
          <w:color w:val="auto"/>
        </w:rPr>
        <w:t>Premier Protein</w:t>
      </w:r>
      <w:r>
        <w:rPr>
          <w:rFonts w:ascii="Arial" w:cs="Arial" w:eastAsia="Arial" w:hAnsi="Arial"/>
          <w:sz w:val="10"/>
          <w:szCs w:val="10"/>
          <w:color w:val="auto"/>
        </w:rPr>
        <w:t xml:space="preserve"> RTD shakes increased 30.2% in the 13-week period ended October 2, 2021, as compared to the same period in 2020 (inclusive of NielsenIQ Total US xAOC including Convenience and management estimates of untracked channels). </w:t>
      </w:r>
      <w:r>
        <w:rPr>
          <w:rFonts w:ascii="Arial" w:cs="Arial" w:eastAsia="Arial" w:hAnsi="Arial"/>
          <w:sz w:val="10"/>
          <w:szCs w:val="10"/>
          <w:i w:val="1"/>
          <w:iCs w:val="1"/>
          <w:color w:val="auto"/>
        </w:rPr>
        <w:t>Dymatize</w:t>
      </w:r>
      <w:r>
        <w:rPr>
          <w:rFonts w:ascii="Arial" w:cs="Arial" w:eastAsia="Arial" w:hAnsi="Arial"/>
          <w:sz w:val="10"/>
          <w:szCs w:val="10"/>
          <w:color w:val="auto"/>
        </w:rPr>
        <w:t xml:space="preserve"> net sales increased 41.3%, with volumes up 32.4%, and benefited from (i) distribution gains for both existing and new products, (ii) lapping global specialty retail store and gym closures in the prior year period in reaction to the COVID-19 pandemic (which drove declines in shipments, consumer mobility and on-the-go consumption), (iii) strong velocities driven in part by continued category momentum and (iv) higher average net selling prices (driven by a favorable product mix). Net sales of all other products increased 7.6%. Overall net sales growth was impacted by supply chain disruptions across BellRing’s contract manufacturer network. This resulted in lower than anticipated production, which exacerbated already low inventories and caused missed sales.</w:t>
      </w:r>
    </w:p>
    <w:p>
      <w:pPr>
        <w:spacing w:after="0" w:line="66"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Gross profit was $96.0 million, or 28.2% of net sales, an increase of 6.9%, or $6.2 million, compared to $89.8 million, or 31.8% of net sales, in the prior year period. The lower gross profit margin was driven by higher input costs (predominantly freight and whey-based and milk-based proteins) and planned promotional activity.</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Selling, general and administrative (“SG&amp;A”) expenses were $38.0 million, or 11.2% of net sales, an increase of $2.8 million compared to $35.2 million, or 12.5% of net sales, in the prior year period.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was $53.1 million, an increase of 8.4%, or $4.1 million, compared to $49.0 million in the prior year period.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Interest expense, net was $9.6 million, compared to $13.5 million in the prior year period, with the decrease primarily driven by a reduction in the aggregate principal amount of debt outstanding.</w:t>
      </w:r>
    </w:p>
    <w:p>
      <w:pPr>
        <w:spacing w:after="0" w:line="114" w:lineRule="exact"/>
        <w:rPr>
          <w:sz w:val="20"/>
          <w:szCs w:val="20"/>
          <w:color w:val="auto"/>
        </w:rPr>
      </w:pPr>
    </w:p>
    <w:p>
      <w:pPr>
        <w:ind w:right="240"/>
        <w:spacing w:after="0" w:line="298" w:lineRule="auto"/>
        <w:rPr>
          <w:sz w:val="20"/>
          <w:szCs w:val="20"/>
          <w:color w:val="auto"/>
        </w:rPr>
      </w:pPr>
      <w:r>
        <w:rPr>
          <w:rFonts w:ascii="Arial" w:cs="Arial" w:eastAsia="Arial" w:hAnsi="Arial"/>
          <w:sz w:val="11"/>
          <w:szCs w:val="11"/>
          <w:color w:val="auto"/>
        </w:rPr>
        <w:t>Income tax expense was $3.0 million, an effective income tax rate of 6.9%, compared to zero in the prior year period. In both periods, the effective income tax rate differed significantly from the statutory rate primarily as a result of taking into account for U.S. federal, state and local income tax purposes a 28.8% distributive share of the items of income, gain, loss and deduction of BellRing Brands, LLC (“BellRing LLC”). In the fourth quarter of 2020, the effective income tax rate was impacted by a favorable adjustment recorded in connection with finalizing the tax deductibility of transaction costs associated with BellRing’s initial public offering (the “IPO”).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44" w:right="299" w:bottom="1440" w:gutter="0" w:footer="0" w:header="0"/>
        </w:sectPr>
      </w:pPr>
    </w:p>
    <w:bookmarkStart w:id="4" w:name="page5"/>
    <w:bookmarkEnd w:id="4"/>
    <w:p>
      <w:pPr>
        <w:ind w:right="20"/>
        <w:spacing w:after="0" w:line="259" w:lineRule="auto"/>
        <w:rPr>
          <w:sz w:val="20"/>
          <w:szCs w:val="20"/>
          <w:color w:val="auto"/>
        </w:rPr>
      </w:pPr>
      <w:r>
        <w:rPr>
          <w:rFonts w:ascii="Arial" w:cs="Arial" w:eastAsia="Arial" w:hAnsi="Arial"/>
          <w:sz w:val="12"/>
          <w:szCs w:val="12"/>
          <w:color w:val="auto"/>
        </w:rPr>
        <w:t>Net earnings available to Class A common stockholders were $9.7 million, a decrease of 3.0%, or $0.3 million, compared to $10.0 million in the prior year period. Net earnings available to Class A common stockholders excluded $30.8 million of net earnings attributable to the Company’s redeemable noncontrolling interest (“NCI”), compared to $25.5 million excluded in the prior year period. Net earnings per diluted share of Class A common stock were $0.25, compared to $0.26 in the prior year period. Adjusted net earnings available to Class A common stockholders were $9.9 million, or $0.25 per diluted share of Class A common stock, compared to $10.0 million, or $0.25 per diluted share of Class A common stock, in the prior year period.</w:t>
      </w:r>
    </w:p>
    <w:p>
      <w:pPr>
        <w:spacing w:after="0" w:line="88"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Adjusted EBITDA was $60.5 million, an increase of 6.7%, or $3.8 million, compared to $56.7 million in the prior year period. Adjusted EBITDA in both periods included an adjustment for the portion of BellRing LLC’s consolidated net earnings which was allocated to NCI, resulting in the calculation of Adjusted EBITDA including 100% of BellRing.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2021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Net sales were $1,247.1 million, an increase of 26.2%, or $258.8 million, compared to the prior year. </w:t>
      </w:r>
      <w:r>
        <w:rPr>
          <w:rFonts w:ascii="Arial" w:cs="Arial" w:eastAsia="Arial" w:hAnsi="Arial"/>
          <w:sz w:val="11"/>
          <w:szCs w:val="11"/>
          <w:i w:val="1"/>
          <w:iCs w:val="1"/>
          <w:color w:val="auto"/>
        </w:rPr>
        <w:t>Premier Protein</w:t>
      </w:r>
      <w:r>
        <w:rPr>
          <w:rFonts w:ascii="Arial" w:cs="Arial" w:eastAsia="Arial" w:hAnsi="Arial"/>
          <w:sz w:val="11"/>
          <w:szCs w:val="11"/>
          <w:color w:val="auto"/>
        </w:rPr>
        <w:t xml:space="preserve"> net sales increased 25.1%, with volumes up 23.9%. </w:t>
      </w:r>
      <w:r>
        <w:rPr>
          <w:rFonts w:ascii="Arial" w:cs="Arial" w:eastAsia="Arial" w:hAnsi="Arial"/>
          <w:sz w:val="11"/>
          <w:szCs w:val="11"/>
          <w:i w:val="1"/>
          <w:iCs w:val="1"/>
          <w:color w:val="auto"/>
        </w:rPr>
        <w:t>Dymatize</w:t>
      </w:r>
      <w:r>
        <w:rPr>
          <w:rFonts w:ascii="Arial" w:cs="Arial" w:eastAsia="Arial" w:hAnsi="Arial"/>
          <w:sz w:val="11"/>
          <w:szCs w:val="11"/>
          <w:color w:val="auto"/>
        </w:rPr>
        <w:t xml:space="preserve"> net sales increased 43.3%, with volumes up 29.3%.</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Net sales of all other products increased 6.9%.</w:t>
      </w:r>
    </w:p>
    <w:p>
      <w:pPr>
        <w:spacing w:after="0" w:line="105"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Gross profit was $386.2 million, or 31.0% of net sales, an increase of 14.3%, or $48.2 million, compared to $338.0 million, or 34.2% of net sales, in the prior year. The lower gross profit margin was driven by higher input costs (predominantly milk-based proteins and freight for RTD shakes) and planned incremental promotional activity.</w:t>
      </w:r>
    </w:p>
    <w:p>
      <w:pPr>
        <w:spacing w:after="0" w:line="79" w:lineRule="exact"/>
        <w:rPr>
          <w:sz w:val="20"/>
          <w:szCs w:val="20"/>
          <w:color w:val="auto"/>
        </w:rPr>
      </w:pPr>
    </w:p>
    <w:p>
      <w:pPr>
        <w:ind w:right="400"/>
        <w:spacing w:after="0" w:line="263" w:lineRule="auto"/>
        <w:rPr>
          <w:sz w:val="20"/>
          <w:szCs w:val="20"/>
          <w:color w:val="auto"/>
        </w:rPr>
      </w:pPr>
      <w:r>
        <w:rPr>
          <w:rFonts w:ascii="Arial" w:cs="Arial" w:eastAsia="Arial" w:hAnsi="Arial"/>
          <w:sz w:val="12"/>
          <w:szCs w:val="12"/>
          <w:color w:val="auto"/>
        </w:rPr>
        <w:t>SG&amp;A expenses were $167.1 million, or 13.4% of net sales, an increase of $15.3 million, compared to $151.8 million, or 15.4% of net sales, in the prior year. SG&amp;A expenses for fiscal year 2021 included $6.1 million of higher marketing and consumer advertising expenses, $5.2 million of restructuring and facility closure costs and higher incentive compensation accruals, which were partially offset by $1.7 million of lower costs related to BellRing’s separation from Post Holdings, Inc. (“Post”). Restructuring and facility closure costs and separation costs were treated as adjustments for non-GAAP measures.</w:t>
      </w:r>
    </w:p>
    <w:p>
      <w:pPr>
        <w:spacing w:after="0" w:line="86"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Operating profit was $168.0 million, an increase of 2.4%, or $4.0 million, compared to $164.0 million in the prior year, and was negatively impacted by $29.9 million of accelerated amortization incurred in connection with the discontinuance of the S</w:t>
      </w:r>
      <w:r>
        <w:rPr>
          <w:rFonts w:ascii="Arial" w:cs="Arial" w:eastAsia="Arial" w:hAnsi="Arial"/>
          <w:sz w:val="12"/>
          <w:szCs w:val="12"/>
          <w:i w:val="1"/>
          <w:iCs w:val="1"/>
          <w:color w:val="auto"/>
        </w:rPr>
        <w:t>upreme Protein</w:t>
      </w:r>
      <w:r>
        <w:rPr>
          <w:rFonts w:ascii="Arial" w:cs="Arial" w:eastAsia="Arial" w:hAnsi="Arial"/>
          <w:sz w:val="12"/>
          <w:szCs w:val="12"/>
          <w:color w:val="auto"/>
        </w:rPr>
        <w:t xml:space="preserve"> brand, which was treated as an adjustment for non-GAAP measures.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Interest expense, net was $43.2 million, compared to $54.7 million in the prior year, with the decrease primarily driven by a reduction in the aggregate principal amount of debt outstanding.</w:t>
      </w:r>
    </w:p>
    <w:p>
      <w:pPr>
        <w:spacing w:after="0" w:line="114" w:lineRule="exact"/>
        <w:rPr>
          <w:sz w:val="20"/>
          <w:szCs w:val="20"/>
          <w:color w:val="auto"/>
        </w:rPr>
      </w:pPr>
    </w:p>
    <w:p>
      <w:pPr>
        <w:jc w:val="both"/>
        <w:ind w:right="240"/>
        <w:spacing w:after="0" w:line="263" w:lineRule="auto"/>
        <w:rPr>
          <w:sz w:val="20"/>
          <w:szCs w:val="20"/>
          <w:color w:val="auto"/>
        </w:rPr>
      </w:pPr>
      <w:r>
        <w:rPr>
          <w:rFonts w:ascii="Arial" w:cs="Arial" w:eastAsia="Arial" w:hAnsi="Arial"/>
          <w:sz w:val="12"/>
          <w:szCs w:val="12"/>
          <w:color w:val="auto"/>
        </w:rPr>
        <w:t>Income tax expense was $8.8 million, an effective income tax rate of 7.1%, compared to $9.2 million in the prior year, an effective income tax rate of 8.4%. In both years, the effective income tax rate differed significantly from the statutory rate primarily as a result of taking into account for U.S. federal, state and local income tax purposes a 28.8% distributive share of the items of income, gain, loss and deduction of BellRing LLC in the periods subsequent to BellRing’s IPO.</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Net earnings available to Class A common stockholders were $27.6 million, an increase of 17.4%, or $4.1 million, compared to $23.5 million in the prior year. Net earnings available to Class A common stockholders in fiscal year 2021 excluded $86.8 million of net earnings attributable to the Company’s redeemable NCI, compared to $76.6 million excluded in the prior year. Net earnings per diluted share of Class A common stock were $0.70, compared to $0.60 in the prior year. Adjusted net earnings available to Class A common stockholders were $35.7 million, or $0.90 per diluted share of Class A common stock, compared to $24.3 million, or $0.62 per diluted share of Class A common stock, in the prior year.</w:t>
      </w:r>
    </w:p>
    <w:p>
      <w:pPr>
        <w:spacing w:after="0" w:line="8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Adjusted EBITDA was $233.9 million, an increase of 18.6%, or $36.7 million, compared to $197.2 million in the prior year. Adjusted EBITDA in both years included an adjustment for the portion of BellRing LLC’s consolidated net earnings which was allocated to NCI, resulting in the calculation of Adjusted EBITDA including 100% of BellRing.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2"/>
          <w:szCs w:val="12"/>
          <w:color w:val="auto"/>
        </w:rPr>
        <w:t>On October 21, 2019, BellRing closed its IPO of 39.4 million shares of Class A common stock. Upon completion of the IPO and certain transactions completed in connection with the IPO, BellRing became the holding company for BellRing LLC (which became the holding company for Post’s historical active nutrition business). Effective October 21, 2019, BellRing allocates a portion of the consolidated net earnings of BellRing LLC to NCI, reflecting the entitlement of Post to a portion of the consolidated net earnings. As of September 30, 2021, Post held 71.2% of the economic interest of BellRing LLC. Prior to October 21, 2019, Post held 100% of the economic interest of BellRing LLC, which was allocated to NCI.</w:t>
      </w:r>
    </w:p>
    <w:p>
      <w:pPr>
        <w:spacing w:after="0" w:line="8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For the period prior to the IPO included in the twelve months ended September 30, 2020, BellRing’s financial statements present the combined results of Post’s historical active nutrition business which have been prepared on a stand-alone basis and are derived from the consolidated financial statements and accounting records of Post. The combined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644" w:right="299" w:bottom="1440" w:gutter="0" w:footer="0" w:header="0"/>
        </w:sectPr>
      </w:pPr>
    </w:p>
    <w:bookmarkStart w:id="5" w:name="page6"/>
    <w:bookmarkEnd w:id="5"/>
    <w:p>
      <w:pPr>
        <w:ind w:right="380"/>
        <w:spacing w:after="0" w:line="276" w:lineRule="auto"/>
        <w:rPr>
          <w:sz w:val="20"/>
          <w:szCs w:val="20"/>
          <w:color w:val="auto"/>
        </w:rPr>
      </w:pPr>
      <w:r>
        <w:rPr>
          <w:rFonts w:ascii="Arial" w:cs="Arial" w:eastAsia="Arial" w:hAnsi="Arial"/>
          <w:sz w:val="12"/>
          <w:szCs w:val="12"/>
          <w:color w:val="auto"/>
        </w:rPr>
        <w:t>reflect the historical results of operations, financial position and cash flows of the active nutrition business. In the opinion of management, the assumptions underlying the active nutrition business’s historical combined financial statements were reasonable.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Agreement with Post to Increase RTD Shake Capacity</w:t>
      </w:r>
    </w:p>
    <w:p>
      <w:pPr>
        <w:spacing w:after="0" w:line="118"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BellRing and Post have entered into an agreement in which Post will purchase and develop land with the intent to build an aseptic processing facility to produce RTD shakes for BellRing. BellRing and Post expect to enter into a contract manufacturing agreement. BellRing and Post expect to provide further details as progress is made.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Post’s Plan to Distribute Its Interest in BellRing to Post Shareholders</w:t>
      </w:r>
    </w:p>
    <w:p>
      <w:pPr>
        <w:spacing w:after="0" w:line="118" w:lineRule="exact"/>
        <w:rPr>
          <w:sz w:val="20"/>
          <w:szCs w:val="20"/>
          <w:color w:val="auto"/>
        </w:rPr>
      </w:pPr>
    </w:p>
    <w:p>
      <w:pPr>
        <w:ind w:right="140"/>
        <w:spacing w:after="0" w:line="340" w:lineRule="auto"/>
        <w:rPr>
          <w:sz w:val="20"/>
          <w:szCs w:val="20"/>
          <w:color w:val="auto"/>
        </w:rPr>
      </w:pPr>
      <w:r>
        <w:rPr>
          <w:rFonts w:ascii="Arial" w:cs="Arial" w:eastAsia="Arial" w:hAnsi="Arial"/>
          <w:sz w:val="10"/>
          <w:szCs w:val="10"/>
          <w:color w:val="auto"/>
        </w:rPr>
        <w:t>On October 27, 2021, Post and BellRing announced the signing of a transaction agreement related to Post’s previously announced plan to distribute a significant portion of its interest in BellRing to Post’s shareholders. The parties expect the distribution to be completed in the first calendar quarter of 2022, subject to certain customary conditions, including the receipt of certain tax opinions and the approval of BellRing’s stockholders (including the approval of BellRing’s stockholders other than Post). There can be no assurance that the proposed distribution will be completed as anticipated or at all. Please refer to the press release dated October 27, 2021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Commentary</w:t>
      </w:r>
    </w:p>
    <w:p>
      <w:pPr>
        <w:spacing w:after="0" w:line="11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BellRing continues to closely monitor the impact of the COVID-19 pandemic on its business and remains focused on ensuring the health and safety of its employees and serving customers and consumers. BellRing’s primary categories returned to growth rates in line with their pre-pandemic levels during the fourth quarter of fiscal 2020 and have remained strong in subsequent periods.</w:t>
      </w:r>
    </w:p>
    <w:p>
      <w:pPr>
        <w:spacing w:after="0" w:line="79" w:lineRule="exact"/>
        <w:rPr>
          <w:sz w:val="20"/>
          <w:szCs w:val="20"/>
          <w:color w:val="auto"/>
        </w:rPr>
      </w:pPr>
    </w:p>
    <w:p>
      <w:pPr>
        <w:jc w:val="both"/>
        <w:ind w:right="120"/>
        <w:spacing w:after="0" w:line="259" w:lineRule="auto"/>
        <w:rPr>
          <w:sz w:val="20"/>
          <w:szCs w:val="20"/>
          <w:color w:val="auto"/>
        </w:rPr>
      </w:pPr>
      <w:r>
        <w:rPr>
          <w:rFonts w:ascii="Arial" w:cs="Arial" w:eastAsia="Arial" w:hAnsi="Arial"/>
          <w:sz w:val="12"/>
          <w:szCs w:val="12"/>
          <w:color w:val="auto"/>
        </w:rPr>
        <w:t>As the overall economy continues to recover from the impact of the COVID-19 pandemic, input and freight inflation, equipment delays and input and labor availability are pressuring BellRing’s supply chain. Lower than anticipated production and delays in capacity expansion across the broader third party shake contract manufacturer have resulted in low inventories and missed sales. Service levels and fill rates remain below normal levels, and certain products have been placed on allocation. These factors are expected to improve but persist throughout fiscal year 2022 and are dependent upon BellRing’s contract manufacturer partners’ ability to deliver committed volumes, add capacity on expected timelines, retain manufacturing staff and rebuild inventory levels.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18"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For fiscal year 2022, BellRing management expects net sales and Adjusted EBITDA each to grow 9%-13% over fiscal year 2021 (resulting in a net sales range of $1.36-$1.41 billion and an Adjusted EBITDA range of $255-$265 million).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BellRing management expects the following:</w:t>
      </w:r>
    </w:p>
    <w:p>
      <w:pPr>
        <w:spacing w:after="0" w:line="114" w:lineRule="exact"/>
        <w:rPr>
          <w:sz w:val="20"/>
          <w:szCs w:val="20"/>
          <w:color w:val="auto"/>
        </w:rPr>
      </w:pPr>
    </w:p>
    <w:p>
      <w:pPr>
        <w:ind w:left="420" w:right="60" w:hanging="212"/>
        <w:spacing w:after="0" w:line="309" w:lineRule="auto"/>
        <w:tabs>
          <w:tab w:leader="none" w:pos="417" w:val="left"/>
        </w:tabs>
        <w:numPr>
          <w:ilvl w:val="0"/>
          <w:numId w:val="4"/>
        </w:numPr>
        <w:rPr>
          <w:rFonts w:ascii="Arial" w:cs="Arial" w:eastAsia="Arial" w:hAnsi="Arial"/>
          <w:sz w:val="10"/>
          <w:szCs w:val="10"/>
          <w:color w:val="auto"/>
        </w:rPr>
      </w:pPr>
      <w:r>
        <w:rPr>
          <w:rFonts w:ascii="Arial" w:cs="Arial" w:eastAsia="Arial" w:hAnsi="Arial"/>
          <w:sz w:val="10"/>
          <w:szCs w:val="10"/>
          <w:color w:val="auto"/>
        </w:rPr>
        <w:t>Net sales growth to be high single digits in the first half of 2022 and mid teens in the second half of 2022, with sequential improvement in each quarter throughout the year as incremental capacity comes online. As previously discussed, the accelerated growth experienced in fiscal year 2021 exceeded BellRing’s current shake manufacturing capacity. As a result, inventories are low and expected to recover throughout fiscal year 2022.</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Adjusted EBITDA growth is weighted toward the second half of 2022, with Adjusted EBITDA margins flat as the benefits from pricing actions and lower brand investments are offset by significant inflation.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BellRing management expects fiscal year 2022 capital expenditures of approximately $4 million.</w:t>
      </w:r>
    </w:p>
    <w:p>
      <w:pPr>
        <w:spacing w:after="0" w:line="105" w:lineRule="exact"/>
        <w:rPr>
          <w:sz w:val="20"/>
          <w:szCs w:val="20"/>
          <w:color w:val="auto"/>
        </w:rPr>
      </w:pPr>
    </w:p>
    <w:p>
      <w:pPr>
        <w:jc w:val="both"/>
        <w:ind w:right="20"/>
        <w:spacing w:after="0" w:line="230" w:lineRule="auto"/>
        <w:rPr>
          <w:sz w:val="20"/>
          <w:szCs w:val="20"/>
          <w:color w:val="auto"/>
        </w:rPr>
      </w:pPr>
      <w:r>
        <w:rPr>
          <w:rFonts w:ascii="Arial" w:cs="Arial" w:eastAsia="Arial" w:hAnsi="Arial"/>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restructuring and facility closures costs, separation costs, net earnings attributable to redeemable NCI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Non-GAAP Measures</w:t>
      </w:r>
    </w:p>
    <w:p>
      <w:pPr>
        <w:spacing w:after="0" w:line="11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40"/>
          </w:cols>
          <w:pgMar w:left="300" w:top="752" w:right="359"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auto"/>
        </w:rPr>
        <w:t>reconciliation of each of these non-GAAP measures to the most directly comparable GAAP measure is provided later in this release under “Explanation and Reconciliation of Non-GAAP Measures.”</w:t>
      </w:r>
    </w:p>
    <w:p>
      <w:pPr>
        <w:spacing w:after="0" w:line="114" w:lineRule="exact"/>
        <w:rPr>
          <w:sz w:val="20"/>
          <w:szCs w:val="20"/>
          <w:color w:val="auto"/>
        </w:rPr>
      </w:pPr>
    </w:p>
    <w:p>
      <w:pPr>
        <w:ind w:right="60"/>
        <w:spacing w:after="0" w:line="285" w:lineRule="auto"/>
        <w:rPr>
          <w:sz w:val="20"/>
          <w:szCs w:val="20"/>
          <w:color w:val="auto"/>
        </w:rPr>
      </w:pPr>
      <w:r>
        <w:rPr>
          <w:rFonts w:ascii="Arial" w:cs="Arial" w:eastAsia="Arial" w:hAnsi="Arial"/>
          <w:sz w:val="11"/>
          <w:szCs w:val="11"/>
          <w:color w:val="auto"/>
        </w:rPr>
        <w:t>Management uses certain of these non-GAAP measures, including Adjusted EBITDA, as key metrics in the evaluation of underlying company performance, in making financial, operating and planning decisions and, in part, in the determination of bonuses for its executive officers and employees. Additionally, BellRing LLC is required to comply with certain covenants and limitations that are based on variations of EBITDA in BellRing LLC’s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BellRing Conference Call to Discuss Earnings Results and Outlook</w:t>
      </w:r>
    </w:p>
    <w:p>
      <w:pPr>
        <w:spacing w:after="0" w:line="118"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BellRing will host a conference call on Friday, November 19, 2021 at 10:30 a.m. EST to discuss financial results for the fourth quarter and fiscal year 2021 and fiscal year 2022 outlook and to respond to questions. Darcy H. Davenport, President and Chief Executive Officer, and Paul A. Rode, Chief Financial Officer, will participate in the call.</w:t>
      </w:r>
    </w:p>
    <w:p>
      <w:pPr>
        <w:spacing w:after="0" w:line="79"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Interested parties may join the conference call by dialing (877) 876-9173 in the United States and (785) 424-1667 from outside of the United States. The conference identification number is BRBRQ421.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w:t>
      </w:r>
    </w:p>
    <w:p>
      <w:pPr>
        <w:spacing w:after="0" w:line="86"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A replay of the conference call will be available through Friday, November 26, 2021 by dialing (800) 753-9146 in the United States and (402) 220-2705 from outside of the United States. A webcast replay also will be available for a limited period on BellRing’s website in the Investor Relations section.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Prospective Financial Information</w:t>
      </w:r>
    </w:p>
    <w:p>
      <w:pPr>
        <w:spacing w:after="0" w:line="118" w:lineRule="exact"/>
        <w:rPr>
          <w:sz w:val="20"/>
          <w:szCs w:val="20"/>
          <w:color w:val="auto"/>
        </w:rPr>
      </w:pPr>
    </w:p>
    <w:p>
      <w:pPr>
        <w:ind w:right="220"/>
        <w:spacing w:after="0" w:line="289" w:lineRule="auto"/>
        <w:rPr>
          <w:sz w:val="20"/>
          <w:szCs w:val="20"/>
          <w:color w:val="auto"/>
        </w:rPr>
      </w:pPr>
      <w:r>
        <w:rPr>
          <w:rFonts w:ascii="Arial" w:cs="Arial" w:eastAsia="Arial" w:hAnsi="Arial"/>
          <w:sz w:val="11"/>
          <w:szCs w:val="11"/>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Regarding the Proposed Distribution of Post’s Interest in BellRing and Where to Find It</w:t>
      </w:r>
    </w:p>
    <w:p>
      <w:pPr>
        <w:spacing w:after="0" w:line="118"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This communication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BellRing Distribution, LLC (“New BellRing”) and BellRing intend to file relevant materials with the Securities and Exchange Commission (“the SEC”), including a proxy statement of BellRing, a prospectus of New BellRing and any other applicable registration statement to be filed in connection with the separation. INVESTORS AND SECURITY HOLDERS ARE URGED TO READ THE REGISTRATION STATEMENTS/PROSPECTUSES, PROXY STATEMENT AND ANY OTHER RELEVANT DOCUMENTS WHEN THEY BECOME AVAILABLE BECAUSE THEY WILL CONTAIN IMPORTANT INFORMATION ABOUT NEW BELLRING, BELLRING AND THE PROPOSED TRANSACTION. Investors and security holders will be able to obtain these materials (when they are available) and other documents filed with the SEC free of charge from the SEC’s website, www.sec.gov, BellRing’s website, www.bellring.com, or Post’s website, www.postholdings.com.</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The transaction and distribution of this communication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644"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Participants in a Solicitation</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will be set forth in the BellRing proxy statement when filed with the SEC. Information regarding the directors and executive officers of BellRing is available in its definitive proxy statement, which was filed with the SEC on January 20, 2021. Information regarding the directors and executive officers of Post is available in its definitive proxy statement, which was filed with the SEC on December 7, 2020. Free copies of these documents may be obtained as described above.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spacing w:after="0" w:line="276" w:lineRule="auto"/>
        <w:rPr>
          <w:sz w:val="20"/>
          <w:szCs w:val="20"/>
          <w:color w:val="auto"/>
        </w:rPr>
      </w:pPr>
      <w:r>
        <w:rPr>
          <w:rFonts w:ascii="Arial" w:cs="Arial" w:eastAsia="Arial" w:hAnsi="Arial"/>
          <w:sz w:val="11"/>
          <w:szCs w:val="11"/>
          <w:color w:val="auto"/>
        </w:rPr>
        <w:t>Certain matters discussed in this release and on BellRing’s conference call are forward-looking statements, including BellRing’s net sales, Adjusted EBITDA and capital expenditures outlook for fiscal year 2022, the effect of the COVID-19 pandemic on BellRing’s business, BellRing’s continuing response to the COVID-19 pandemic and the proposed transaction between Post and BellRing for the distribution of a significant portion of Post’s interest in BellRing to Post’s shareholders, including the amount of BellRing equity Post intends to distribute, the form of distribution and the expected timing of the completion of the proposed transaction.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ind w:left="420" w:right="10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impact of the COVID-19 pandemic, including negative impacts on the global economy and capital markets, the health of BellRing’s employees, BellRing’s ability and the ability of its third party contract manufacturers to manufacture and deliver its products, operating costs, demand for its on-the-go products and its operations generally;</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dependence on sales from its RTD protein shakes;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continue to compete in its product categories and its ability to retain its market position and favorable perceptions of its brands;</w:t>
      </w:r>
    </w:p>
    <w:p>
      <w:pPr>
        <w:spacing w:after="0" w:line="6" w:lineRule="exact"/>
        <w:rPr>
          <w:rFonts w:ascii="Arial" w:cs="Arial" w:eastAsia="Arial" w:hAnsi="Arial"/>
          <w:sz w:val="12"/>
          <w:szCs w:val="12"/>
          <w:color w:val="auto"/>
        </w:rPr>
      </w:pPr>
    </w:p>
    <w:p>
      <w:pPr>
        <w:jc w:val="both"/>
        <w:ind w:left="420" w:right="6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disruptions or inefficiencies in BellRing’s supply chain, including as a result of BellRing’s reliance on third party suppliers or manufacturers for the manufacturing of many of its products, pandemics (including the COVID-19 pandemic)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BellRing’s dependence on a limited number of third party contract manufacturers for the manufacturing of most of its products, including one manufacturer for the substantial majority of its RTD protein shakes;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ability of BellRing’s third party contract manufacturers to produce an amount of BellRing’s products that enables BellRing to meet customer and consumer demand for the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reliance on a limited number of third party suppliers to provide certain ingredients and packaging;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significant volatility in the cost or availability of inputs to BellRing’s business (including freight, raw materials, packaging, energy, labor and other supplies);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anticipate and respond to changes in consumer and customer preferences and behaviors and introduce new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consolidation in BellRing’s distribution channels;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expand existing market penetration and enter into new markets;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loss of, a significant reduction of purchases by or the bankruptcy of a major customer;</w:t>
      </w:r>
    </w:p>
    <w:p>
      <w:pPr>
        <w:spacing w:after="0" w:line="6" w:lineRule="exact"/>
        <w:rPr>
          <w:rFonts w:ascii="Arial" w:cs="Arial" w:eastAsia="Arial" w:hAnsi="Arial"/>
          <w:sz w:val="12"/>
          <w:szCs w:val="12"/>
          <w:color w:val="auto"/>
        </w:rPr>
      </w:pPr>
    </w:p>
    <w:p>
      <w:pPr>
        <w:ind w:left="420" w:right="16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fluctuations in BellRing’s business due to changes in its promotional activities and seasonality;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maintain the net selling prices of its products and manage promotional activities with respect to its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BellRing’s high leverage, its ability to obtain additional financing (including both secured and unsecured debt) and its ability to service its outstanding debt (including covenants that restrict the operation of its business);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accuracy of BellRing’s market data and attributes and related information;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estimates in critical accounting judgments;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economic downturns that limit customer and consumer demand for BellRing’s products;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80"/>
          </w:cols>
          <w:pgMar w:left="300" w:top="640" w:right="319" w:bottom="1440" w:gutter="0" w:footer="0" w:header="0"/>
        </w:sectPr>
      </w:pPr>
    </w:p>
    <w:bookmarkStart w:id="8" w:name="page9"/>
    <w:bookmarkEnd w:id="8"/>
    <w:p>
      <w:pPr>
        <w:ind w:left="420" w:hanging="212"/>
        <w:spacing w:after="0"/>
        <w:tabs>
          <w:tab w:leader="none" w:pos="420" w:val="left"/>
        </w:tabs>
        <w:numPr>
          <w:ilvl w:val="0"/>
          <w:numId w:val="6"/>
        </w:numPr>
        <w:rPr>
          <w:rFonts w:ascii="Arial" w:cs="Arial" w:eastAsia="Arial" w:hAnsi="Arial"/>
          <w:sz w:val="10"/>
          <w:szCs w:val="10"/>
          <w:color w:val="auto"/>
        </w:rPr>
      </w:pPr>
      <w:r>
        <w:rPr>
          <w:rFonts w:ascii="Arial" w:cs="Arial" w:eastAsia="Arial" w:hAnsi="Arial"/>
          <w:sz w:val="10"/>
          <w:szCs w:val="10"/>
          <w:color w:val="auto"/>
        </w:rPr>
        <w:t>changes in economic conditions, disruptions in the United States and global capital and credit markets, changes in interest rates, volatility in the market value of derivatives and fluctuations in foreign currency exchange rates;</w:t>
      </w:r>
    </w:p>
    <w:p>
      <w:pPr>
        <w:spacing w:after="0" w:line="37" w:lineRule="exact"/>
        <w:rPr>
          <w:rFonts w:ascii="Arial" w:cs="Arial" w:eastAsia="Arial" w:hAnsi="Arial"/>
          <w:sz w:val="10"/>
          <w:szCs w:val="10"/>
          <w:color w:val="auto"/>
        </w:rPr>
      </w:pPr>
    </w:p>
    <w:p>
      <w:pPr>
        <w:ind w:left="420" w:right="30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risks related to BellRing’s ongoing relationship with Post, including Post’s control over BellRing and ability to control the direction of BellRing’s business, conflicts of interest or disputes that may arise between Post and BellRing, and BellRing’s obligations under various agreements with Post, including under the tax receivable agreement;</w:t>
      </w: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conflicting interests or the appearance of conflicting interests resulting from certain of BellRing’s directors also serving as officers or directors of Post;</w:t>
      </w:r>
    </w:p>
    <w:p>
      <w:pPr>
        <w:spacing w:after="0" w:line="6" w:lineRule="exact"/>
        <w:rPr>
          <w:rFonts w:ascii="Arial" w:cs="Arial" w:eastAsia="Arial" w:hAnsi="Arial"/>
          <w:sz w:val="12"/>
          <w:szCs w:val="12"/>
          <w:color w:val="auto"/>
        </w:rPr>
      </w:pPr>
    </w:p>
    <w:p>
      <w:pPr>
        <w:ind w:left="420" w:right="280" w:hanging="212"/>
        <w:spacing w:after="0" w:line="273" w:lineRule="auto"/>
        <w:tabs>
          <w:tab w:leader="none" w:pos="417" w:val="left"/>
        </w:tabs>
        <w:numPr>
          <w:ilvl w:val="0"/>
          <w:numId w:val="6"/>
        </w:numPr>
        <w:rPr>
          <w:rFonts w:ascii="Arial" w:cs="Arial" w:eastAsia="Arial" w:hAnsi="Arial"/>
          <w:sz w:val="11"/>
          <w:szCs w:val="11"/>
          <w:color w:val="auto"/>
        </w:rPr>
      </w:pPr>
      <w:r>
        <w:rPr>
          <w:rFonts w:ascii="Arial" w:cs="Arial" w:eastAsia="Arial" w:hAnsi="Arial"/>
          <w:sz w:val="11"/>
          <w:szCs w:val="11"/>
          <w:color w:val="auto"/>
        </w:rPr>
        <w:t>risks related to the proposed distribution by Post of a significant portion of its ownership interest in BellRing, including that it is subject to various conditions and may not occur, BellRing’s inability to take certain actions because such actions could jeopardize the tax-free status of the proposed distribution and BellRing’s possible responsibility for U.S. federal tax liabilities related to the proposed distribution;</w:t>
      </w: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ultimate impact litigation or other regulatory matters may have on BellRing;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risks associated with BellRing’s international business;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BellRing’s ability to protect its intellectual property and other assets and to continue to use third party intellectual property subject to intellectual property licenses;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costs, business disruptions and reputational damage associated with information technology failures, cybersecurity incidents and/or information security breaches;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impairment in the carrying value of goodwill or other intangibles;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BellRing’s ability to satisfy the requirements of Section 404 of the Sarbanes-Oxley Act of 2002;</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significant differences in BellRing’s actual operating results from BellRing’s guidance regarding its performance;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BellRing’s ability to hire and retain talented personnel, employee absenteeism, labor strikes, work stoppages or unionization efforts;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other risks and uncertainties described in BellRing’s filings with the SEC.</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BellRing Brands, Inc.</w:t>
      </w:r>
    </w:p>
    <w:p>
      <w:pPr>
        <w:spacing w:after="0" w:line="114"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 xml:space="preserve">BellRing Brands, Inc. is a rapidly growing leader in the global convenient nutrition category. Its primary brands, </w:t>
      </w:r>
      <w:r>
        <w:rPr>
          <w:rFonts w:ascii="Arial" w:cs="Arial" w:eastAsia="Arial" w:hAnsi="Arial"/>
          <w:sz w:val="12"/>
          <w:szCs w:val="12"/>
          <w:i w:val="1"/>
          <w:iCs w:val="1"/>
          <w:color w:val="auto"/>
        </w:rPr>
        <w:t>Premier Protein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w:t>
      </w:r>
      <w:r>
        <w:rPr>
          <w:rFonts w:ascii="Arial" w:cs="Arial" w:eastAsia="Arial" w:hAnsi="Arial"/>
          <w:sz w:val="12"/>
          <w:szCs w:val="12"/>
          <w:i w:val="1"/>
          <w:iCs w:val="1"/>
          <w:color w:val="auto"/>
        </w:rPr>
        <w:t>Dymatize</w:t>
      </w:r>
      <w:r>
        <w:rPr>
          <w:rFonts w:ascii="Arial" w:cs="Arial" w:eastAsia="Arial" w:hAnsi="Arial"/>
          <w:sz w:val="15"/>
          <w:szCs w:val="15"/>
          <w:color w:val="auto"/>
          <w:vertAlign w:val="superscript"/>
        </w:rPr>
        <w:t>®</w:t>
      </w:r>
      <w:r>
        <w:rPr>
          <w:rFonts w:ascii="Arial" w:cs="Arial" w:eastAsia="Arial" w:hAnsi="Arial"/>
          <w:sz w:val="12"/>
          <w:szCs w:val="12"/>
          <w:color w:val="auto"/>
        </w:rPr>
        <w:t>, appeal to a broad range of consumers across all major product forms, including ready-to-drink protein shakes, powders and nutrition bars,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 Meyer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644-7665</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Lisa Hanly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lisa.hanly@bellringbrands.com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665-3180</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60"/>
          </w:cols>
          <w:pgMar w:left="300" w:top="644"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 xml:space="preserve">CONSOLIDATED STATEMENTS OF OPERATIONS </w:t>
      </w:r>
      <w:r>
        <w:rPr>
          <w:rFonts w:ascii="Arial" w:cs="Arial" w:eastAsia="Arial" w:hAnsi="Arial"/>
          <w:sz w:val="10"/>
          <w:szCs w:val="10"/>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(in millions, except for per share data)</w:t>
      </w: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3"/>
          </w:tcPr>
          <w:p>
            <w:pPr>
              <w:jc w:val="right"/>
              <w:spacing w:after="0"/>
              <w:rPr>
                <w:sz w:val="20"/>
                <w:szCs w:val="20"/>
                <w:color w:val="auto"/>
              </w:rPr>
            </w:pPr>
            <w:r>
              <w:rPr>
                <w:rFonts w:ascii="Arial" w:cs="Arial" w:eastAsia="Arial" w:hAnsi="Arial"/>
                <w:sz w:val="11"/>
                <w:szCs w:val="11"/>
                <w:b w:val="1"/>
                <w:bCs w:val="1"/>
                <w:color w:val="auto"/>
                <w:w w:val="90"/>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Year Ended</w:t>
            </w:r>
          </w:p>
        </w:tc>
        <w:tc>
          <w:tcPr>
            <w:tcW w:w="700" w:type="dxa"/>
            <w:vAlign w:val="bottom"/>
          </w:tcPr>
          <w:p>
            <w:pPr>
              <w:spacing w:after="0"/>
              <w:rPr>
                <w:sz w:val="10"/>
                <w:szCs w:val="10"/>
                <w:color w:val="auto"/>
              </w:rPr>
            </w:pPr>
          </w:p>
        </w:tc>
      </w:tr>
      <w:tr>
        <w:trPr>
          <w:trHeight w:val="142"/>
        </w:trPr>
        <w:tc>
          <w:tcPr>
            <w:tcW w:w="64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1"/>
                <w:szCs w:val="11"/>
                <w:b w:val="1"/>
                <w:bCs w:val="1"/>
                <w:color w:val="auto"/>
              </w:rPr>
              <w:t>September 30,</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September 30,</w:t>
            </w:r>
          </w:p>
        </w:tc>
        <w:tc>
          <w:tcPr>
            <w:tcW w:w="70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w w:val="81"/>
              </w:rPr>
              <w:t>2020</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2020</w:t>
            </w:r>
          </w:p>
        </w:tc>
      </w:tr>
      <w:tr>
        <w:trPr>
          <w:trHeight w:val="144"/>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Sales</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1,247.1</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988.3</w:t>
            </w:r>
          </w:p>
        </w:tc>
      </w:tr>
      <w:tr>
        <w:trPr>
          <w:trHeight w:val="153"/>
        </w:trPr>
        <w:tc>
          <w:tcPr>
            <w:tcW w:w="6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goods sold</w:t>
            </w: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244.0</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192.8</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860.9</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650.3</w:t>
            </w:r>
          </w:p>
        </w:tc>
      </w:tr>
      <w:tr>
        <w:trPr>
          <w:trHeight w:val="142"/>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89.8</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386.2</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338.0</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38.0</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167.1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151.8</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51.2</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Other operating income, net</w:t>
            </w:r>
          </w:p>
        </w:tc>
        <w:tc>
          <w:tcPr>
            <w:tcW w:w="60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Operating Profit</w:t>
            </w:r>
          </w:p>
        </w:tc>
        <w:tc>
          <w:tcPr>
            <w:tcW w:w="6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53.1</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168.0</w:t>
            </w: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164.0</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Interest expense, net</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9.6</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43.2</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54.7</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Loss on refinancing of debt</w:t>
            </w:r>
          </w:p>
        </w:tc>
        <w:tc>
          <w:tcPr>
            <w:tcW w:w="6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460" w:type="dxa"/>
            <w:vAlign w:val="bottom"/>
          </w:tcPr>
          <w:p>
            <w:pPr>
              <w:spacing w:after="0"/>
              <w:rPr>
                <w:sz w:val="20"/>
                <w:szCs w:val="20"/>
                <w:color w:val="auto"/>
              </w:rPr>
            </w:pPr>
            <w:r>
              <w:rPr>
                <w:rFonts w:ascii="Arial" w:cs="Arial" w:eastAsia="Arial" w:hAnsi="Arial"/>
                <w:sz w:val="12"/>
                <w:szCs w:val="12"/>
                <w:b w:val="1"/>
                <w:bCs w:val="1"/>
                <w:color w:val="auto"/>
              </w:rPr>
              <w:t>Earnings before Income Taxes</w:t>
            </w: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43.5</w:t>
            </w: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35.5</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123.2</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109.3</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8.8</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w:t>
            </w:r>
          </w:p>
        </w:tc>
      </w:tr>
      <w:tr>
        <w:trPr>
          <w:trHeight w:val="142"/>
        </w:trPr>
        <w:tc>
          <w:tcPr>
            <w:tcW w:w="6460" w:type="dxa"/>
            <w:vAlign w:val="bottom"/>
          </w:tcPr>
          <w:p>
            <w:pPr>
              <w:spacing w:after="0"/>
              <w:rPr>
                <w:sz w:val="20"/>
                <w:szCs w:val="20"/>
                <w:color w:val="auto"/>
              </w:rPr>
            </w:pPr>
            <w:r>
              <w:rPr>
                <w:rFonts w:ascii="Arial" w:cs="Arial" w:eastAsia="Arial" w:hAnsi="Arial"/>
                <w:sz w:val="12"/>
                <w:szCs w:val="12"/>
                <w:b w:val="1"/>
                <w:bCs w:val="1"/>
                <w:color w:val="auto"/>
              </w:rPr>
              <w:t>Net Earnings Including Redeemable Noncontrolling Interest</w:t>
            </w: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40.5</w:t>
            </w: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35.5</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114.4</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100.1</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Less: Net earnings attributable to redeemable noncontrolling interest</w:t>
            </w:r>
          </w:p>
        </w:tc>
        <w:tc>
          <w:tcPr>
            <w:tcW w:w="6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30.8</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86.8</w:t>
            </w:r>
          </w:p>
        </w:tc>
        <w:tc>
          <w:tcPr>
            <w:tcW w:w="2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76.6</w:t>
            </w:r>
          </w:p>
        </w:tc>
      </w:tr>
      <w:tr>
        <w:trPr>
          <w:trHeight w:val="158"/>
        </w:trPr>
        <w:tc>
          <w:tcPr>
            <w:tcW w:w="64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60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27.6</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w:t>
            </w:r>
          </w:p>
        </w:tc>
      </w:tr>
      <w:tr>
        <w:trPr>
          <w:trHeight w:val="153"/>
        </w:trPr>
        <w:tc>
          <w:tcPr>
            <w:tcW w:w="6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b w:val="1"/>
                <w:bCs w:val="1"/>
                <w:color w:val="auto"/>
              </w:rPr>
              <w:t>Earnings per share of Class A Common Stock:</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0.70</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0.60</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Diluted</w:t>
            </w:r>
          </w:p>
        </w:tc>
        <w:tc>
          <w:tcPr>
            <w:tcW w:w="600" w:type="dxa"/>
            <w:vAlign w:val="bottom"/>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0.25</w:t>
            </w:r>
          </w:p>
        </w:tc>
        <w:tc>
          <w:tcPr>
            <w:tcW w:w="24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0.26</w:t>
            </w:r>
          </w:p>
        </w:tc>
        <w:tc>
          <w:tcPr>
            <w:tcW w:w="34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0.70</w:t>
            </w:r>
          </w:p>
        </w:tc>
        <w:tc>
          <w:tcPr>
            <w:tcW w:w="22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0.60</w:t>
            </w:r>
          </w:p>
        </w:tc>
      </w:tr>
      <w:tr>
        <w:trPr>
          <w:trHeight w:val="171"/>
        </w:trPr>
        <w:tc>
          <w:tcPr>
            <w:tcW w:w="6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b w:val="1"/>
                <w:bCs w:val="1"/>
                <w:color w:val="auto"/>
              </w:rPr>
              <w:t>Weighted-Average Shares of Class A Common Stock Outstanding:</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39.5</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Diluted</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39.9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39.7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20"/>
          </w:cols>
          <w:pgMar w:left="340" w:top="640"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2"/>
          <w:szCs w:val="12"/>
          <w:b w:val="1"/>
          <w:bCs w:val="1"/>
          <w:color w:val="auto"/>
        </w:rPr>
        <w:t>CONSOLIDATED BALANCE SHEETS (Unaudited)</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September 30, 2021</w:t>
            </w: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b w:val="1"/>
                <w:bCs w:val="1"/>
                <w:color w:val="auto"/>
              </w:rPr>
              <w:t>September 30, 2020</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5340" w:type="dxa"/>
            <w:vAlign w:val="bottom"/>
            <w:gridSpan w:val="2"/>
            <w:shd w:val="clear" w:color="auto" w:fill="CCEEFF"/>
          </w:tcPr>
          <w:p>
            <w:pPr>
              <w:jc w:val="center"/>
              <w:ind w:right="484"/>
              <w:spacing w:after="0"/>
              <w:rPr>
                <w:sz w:val="20"/>
                <w:szCs w:val="20"/>
                <w:color w:val="auto"/>
              </w:rPr>
            </w:pPr>
            <w:r>
              <w:rPr>
                <w:rFonts w:ascii="Arial" w:cs="Arial" w:eastAsia="Arial" w:hAnsi="Arial"/>
                <w:sz w:val="11"/>
                <w:szCs w:val="11"/>
                <w:b w:val="1"/>
                <w:bCs w:val="1"/>
                <w:color w:val="auto"/>
                <w:w w:val="90"/>
              </w:rPr>
              <w:t>ASSETS</w:t>
            </w: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5340" w:type="dxa"/>
            <w:vAlign w:val="bottom"/>
            <w:gridSpan w:val="2"/>
            <w:shd w:val="clear" w:color="auto" w:fill="CCEEFF"/>
          </w:tcPr>
          <w:p>
            <w:pPr>
              <w:jc w:val="right"/>
              <w:ind w:right="126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152.6</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Receivables, net</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103.9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83.1</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117.9</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150.5</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388.1</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290.2</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Property, net</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Goodwill</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65.9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Other intangible assets, net</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223.1</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274.3</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39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58"/>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Assets</w:t>
            </w:r>
          </w:p>
        </w:tc>
        <w:tc>
          <w:tcPr>
            <w:tcW w:w="5340" w:type="dxa"/>
            <w:vAlign w:val="bottom"/>
            <w:gridSpan w:val="2"/>
            <w:shd w:val="clear" w:color="auto" w:fill="CCEEFF"/>
          </w:tcPr>
          <w:p>
            <w:pPr>
              <w:jc w:val="right"/>
              <w:ind w:right="126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696.5</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653.5</w:t>
            </w:r>
          </w:p>
        </w:tc>
        <w:tc>
          <w:tcPr>
            <w:tcW w:w="0" w:type="dxa"/>
            <w:vAlign w:val="bottom"/>
          </w:tcPr>
          <w:p>
            <w:pPr>
              <w:spacing w:after="0"/>
              <w:rPr>
                <w:sz w:val="1"/>
                <w:szCs w:val="1"/>
                <w:color w:val="auto"/>
              </w:rPr>
            </w:pPr>
          </w:p>
        </w:tc>
      </w:tr>
      <w:tr>
        <w:trPr>
          <w:trHeight w:val="153"/>
        </w:trPr>
        <w:tc>
          <w:tcPr>
            <w:tcW w:w="3200" w:type="dxa"/>
            <w:vAlign w:val="bottom"/>
            <w:tcBorders>
              <w:top w:val="single" w:sz="8" w:color="CCEEFF"/>
            </w:tcBorders>
          </w:tcPr>
          <w:p>
            <w:pPr>
              <w:spacing w:after="0"/>
              <w:rPr>
                <w:sz w:val="13"/>
                <w:szCs w:val="13"/>
                <w:color w:val="auto"/>
              </w:rPr>
            </w:pPr>
          </w:p>
        </w:tc>
        <w:tc>
          <w:tcPr>
            <w:tcW w:w="3940" w:type="dxa"/>
            <w:vAlign w:val="bottom"/>
            <w:tcBorders>
              <w:top w:val="single" w:sz="8" w:color="CCEEFF"/>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15"/>
                <w:szCs w:val="15"/>
                <w:color w:val="auto"/>
              </w:rPr>
            </w:pPr>
          </w:p>
        </w:tc>
        <w:tc>
          <w:tcPr>
            <w:tcW w:w="5340" w:type="dxa"/>
            <w:vAlign w:val="bottom"/>
            <w:gridSpan w:val="2"/>
            <w:shd w:val="clear" w:color="auto" w:fill="CCEEFF"/>
          </w:tcPr>
          <w:p>
            <w:pPr>
              <w:jc w:val="center"/>
              <w:ind w:right="484"/>
              <w:spacing w:after="0"/>
              <w:rPr>
                <w:sz w:val="20"/>
                <w:szCs w:val="20"/>
                <w:color w:val="auto"/>
              </w:rPr>
            </w:pPr>
            <w:r>
              <w:rPr>
                <w:rFonts w:ascii="Arial" w:cs="Arial" w:eastAsia="Arial" w:hAnsi="Arial"/>
                <w:sz w:val="11"/>
                <w:szCs w:val="11"/>
                <w:b w:val="1"/>
                <w:bCs w:val="1"/>
                <w:color w:val="auto"/>
              </w:rPr>
              <w:t>LIABILITIES AND STOCKHOLDERS’ DEFICIT</w:t>
            </w: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Current portion of long-term debt</w:t>
            </w:r>
          </w:p>
        </w:tc>
        <w:tc>
          <w:tcPr>
            <w:tcW w:w="5340" w:type="dxa"/>
            <w:vAlign w:val="bottom"/>
            <w:gridSpan w:val="2"/>
            <w:shd w:val="clear" w:color="auto" w:fill="CCEEFF"/>
          </w:tcPr>
          <w:p>
            <w:pPr>
              <w:jc w:val="right"/>
              <w:ind w:right="126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116.3</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91.9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3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42"/>
        </w:trPr>
        <w:tc>
          <w:tcPr>
            <w:tcW w:w="3200" w:type="dxa"/>
            <w:vAlign w:val="bottom"/>
          </w:tcPr>
          <w:p>
            <w:pPr>
              <w:ind w:left="340"/>
              <w:spacing w:after="0"/>
              <w:rPr>
                <w:sz w:val="20"/>
                <w:szCs w:val="20"/>
                <w:color w:val="auto"/>
              </w:rPr>
            </w:pPr>
            <w:r>
              <w:rPr>
                <w:rFonts w:ascii="Arial" w:cs="Arial" w:eastAsia="Arial" w:hAnsi="Arial"/>
                <w:sz w:val="12"/>
                <w:szCs w:val="12"/>
                <w:b w:val="1"/>
                <w:bCs w:val="1"/>
                <w:color w:val="auto"/>
              </w:rPr>
              <w:t>Total Current Liabilities</w:t>
            </w:r>
          </w:p>
        </w:tc>
        <w:tc>
          <w:tcPr>
            <w:tcW w:w="3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251.3</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153.1</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Long-term debt</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481.2</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622.6</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21.9</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762.0</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814.5</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Redeemable noncontrolling interest</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2,997.3</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2,021.6</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Deficit</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Preferred stock</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87"/>
              </w:rPr>
              <w:t>(3,059.7)</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(2,179.0)</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394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3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ind w:left="340"/>
              <w:spacing w:after="0"/>
              <w:rPr>
                <w:sz w:val="20"/>
                <w:szCs w:val="20"/>
                <w:color w:val="auto"/>
              </w:rPr>
            </w:pPr>
            <w:r>
              <w:rPr>
                <w:rFonts w:ascii="Arial" w:cs="Arial" w:eastAsia="Arial" w:hAnsi="Arial"/>
                <w:sz w:val="12"/>
                <w:szCs w:val="12"/>
                <w:b w:val="1"/>
                <w:bCs w:val="1"/>
                <w:color w:val="auto"/>
              </w:rPr>
              <w:t>Total Stockholders’ Deficit</w:t>
            </w:r>
          </w:p>
        </w:tc>
        <w:tc>
          <w:tcPr>
            <w:tcW w:w="39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(3,062.8)</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(2,182.6)</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 and Stockholders’ Deficit</w:t>
            </w:r>
          </w:p>
        </w:tc>
        <w:tc>
          <w:tcPr>
            <w:tcW w:w="394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126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696.5</w:t>
            </w:r>
          </w:p>
        </w:tc>
        <w:tc>
          <w:tcPr>
            <w:tcW w:w="3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653.5</w:t>
            </w:r>
          </w:p>
        </w:tc>
        <w:tc>
          <w:tcPr>
            <w:tcW w:w="0" w:type="dxa"/>
            <w:vAlign w:val="bottom"/>
          </w:tcPr>
          <w:p>
            <w:pPr>
              <w:spacing w:after="0"/>
              <w:rPr>
                <w:sz w:val="1"/>
                <w:szCs w:val="1"/>
                <w:color w:val="auto"/>
              </w:rPr>
            </w:pPr>
          </w:p>
        </w:tc>
      </w:tr>
      <w:tr>
        <w:trPr>
          <w:trHeight w:val="504"/>
        </w:trPr>
        <w:tc>
          <w:tcPr>
            <w:tcW w:w="3200" w:type="dxa"/>
            <w:vAlign w:val="bottom"/>
          </w:tcPr>
          <w:p>
            <w:pPr>
              <w:spacing w:after="0"/>
              <w:rPr>
                <w:sz w:val="24"/>
                <w:szCs w:val="24"/>
                <w:color w:val="auto"/>
              </w:rPr>
            </w:pPr>
          </w:p>
        </w:tc>
        <w:tc>
          <w:tcPr>
            <w:tcW w:w="5340" w:type="dxa"/>
            <w:vAlign w:val="bottom"/>
            <w:gridSpan w:val="2"/>
          </w:tcPr>
          <w:p>
            <w:pPr>
              <w:jc w:val="center"/>
              <w:ind w:right="484"/>
              <w:spacing w:after="0"/>
              <w:rPr>
                <w:sz w:val="20"/>
                <w:szCs w:val="20"/>
                <w:color w:val="auto"/>
              </w:rPr>
            </w:pPr>
            <w:r>
              <w:rPr>
                <w:rFonts w:ascii="Arial" w:cs="Arial" w:eastAsia="Arial" w:hAnsi="Arial"/>
                <w:sz w:val="11"/>
                <w:szCs w:val="11"/>
                <w:b w:val="1"/>
                <w:bCs w:val="1"/>
                <w:color w:val="auto"/>
                <w:w w:val="97"/>
              </w:rPr>
              <w:t>SELECTED CONDENSED CONSOLIDATED CASH FLOWS INFORMATION (Unaudited)</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5340" w:type="dxa"/>
            <w:vAlign w:val="bottom"/>
            <w:gridSpan w:val="2"/>
          </w:tcPr>
          <w:p>
            <w:pPr>
              <w:jc w:val="center"/>
              <w:ind w:right="484"/>
              <w:spacing w:after="0"/>
              <w:rPr>
                <w:sz w:val="20"/>
                <w:szCs w:val="20"/>
                <w:color w:val="auto"/>
              </w:rPr>
            </w:pPr>
            <w:r>
              <w:rPr>
                <w:rFonts w:ascii="Arial" w:cs="Arial" w:eastAsia="Arial" w:hAnsi="Arial"/>
                <w:sz w:val="11"/>
                <w:szCs w:val="11"/>
                <w:b w:val="1"/>
                <w:bCs w:val="1"/>
                <w:color w:val="auto"/>
                <w:w w:val="90"/>
              </w:rPr>
              <w:t>(in millions)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20" w:type="dxa"/>
            <w:vAlign w:val="bottom"/>
            <w:gridSpan w:val="3"/>
          </w:tcPr>
          <w:p>
            <w:pPr>
              <w:jc w:val="right"/>
              <w:ind w:right="160"/>
              <w:spacing w:after="0" w:line="121" w:lineRule="exact"/>
              <w:rPr>
                <w:sz w:val="20"/>
                <w:szCs w:val="20"/>
                <w:color w:val="auto"/>
              </w:rPr>
            </w:pPr>
            <w:r>
              <w:rPr>
                <w:rFonts w:ascii="Arial" w:cs="Arial" w:eastAsia="Arial" w:hAnsi="Arial"/>
                <w:sz w:val="11"/>
                <w:szCs w:val="11"/>
                <w:b w:val="1"/>
                <w:bCs w:val="1"/>
                <w:color w:val="auto"/>
              </w:rPr>
              <w:t>Year Ended</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September 30,</w:t>
            </w: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78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Operating activities</w:t>
            </w:r>
          </w:p>
        </w:tc>
        <w:tc>
          <w:tcPr>
            <w:tcW w:w="5340" w:type="dxa"/>
            <w:vAlign w:val="bottom"/>
            <w:gridSpan w:val="2"/>
          </w:tcPr>
          <w:p>
            <w:pPr>
              <w:jc w:val="right"/>
              <w:ind w:right="1264"/>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226.1</w:t>
            </w:r>
          </w:p>
        </w:tc>
        <w:tc>
          <w:tcPr>
            <w:tcW w:w="34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97.2</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Financing activities</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(120.9)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(52.6)</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w w:val="95"/>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3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b w:val="1"/>
                <w:bCs w:val="1"/>
                <w:color w:val="auto"/>
              </w:rPr>
              <w:t>Net increase in cash and cash equivalents</w:t>
            </w:r>
          </w:p>
        </w:tc>
        <w:tc>
          <w:tcPr>
            <w:tcW w:w="5340" w:type="dxa"/>
            <w:vAlign w:val="bottom"/>
            <w:gridSpan w:val="2"/>
          </w:tcPr>
          <w:p>
            <w:pPr>
              <w:jc w:val="right"/>
              <w:ind w:right="1264"/>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103.9</w:t>
            </w:r>
          </w:p>
        </w:tc>
        <w:tc>
          <w:tcPr>
            <w:tcW w:w="34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40" w:type="dxa"/>
            <w:vAlign w:val="bottom"/>
            <w:vMerge w:val="restart"/>
          </w:tcPr>
          <w:p>
            <w:pPr>
              <w:jc w:val="center"/>
              <w:ind w:left="822"/>
              <w:spacing w:after="0"/>
              <w:rPr>
                <w:sz w:val="20"/>
                <w:szCs w:val="20"/>
                <w:color w:val="auto"/>
              </w:rPr>
            </w:pPr>
            <w:r>
              <w:rPr>
                <w:rFonts w:ascii="Arial" w:cs="Arial" w:eastAsia="Arial" w:hAnsi="Arial"/>
                <w:sz w:val="12"/>
                <w:szCs w:val="12"/>
                <w:color w:val="auto"/>
                <w:w w:val="89"/>
              </w:rPr>
              <w:t>8</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5"/>
        </w:trPr>
        <w:tc>
          <w:tcPr>
            <w:tcW w:w="32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40"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1"/>
          <w:szCs w:val="11"/>
          <w:b w:val="1"/>
          <w:bCs w:val="1"/>
          <w:color w:val="auto"/>
        </w:rPr>
        <w:t>EXPLANATION AND RECONCILIATION OF NON-GAAP MEASURES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net earnings available to Class A common stockholders and Adjusted diluted earnings per share of Class A common stock</w:t>
      </w:r>
    </w:p>
    <w:p>
      <w:pPr>
        <w:spacing w:after="0" w:line="1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BellRing believes Adjusted net earnings available to Class A common stockholders and Adjusted diluted earnings per share of Class A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Adjusted net earnings available to Class A common stockholders and Adjusted diluted earnings per share of Class A common stock are adjusted for the following items:</w:t>
      </w:r>
    </w:p>
    <w:p>
      <w:pPr>
        <w:spacing w:after="0" w:line="15" w:lineRule="exact"/>
        <w:rPr>
          <w:sz w:val="20"/>
          <w:szCs w:val="20"/>
          <w:color w:val="auto"/>
        </w:rPr>
      </w:pPr>
    </w:p>
    <w:p>
      <w:pPr>
        <w:ind w:left="420" w:right="200" w:hanging="212"/>
        <w:spacing w:after="0" w:line="250" w:lineRule="auto"/>
        <w:tabs>
          <w:tab w:leader="none" w:pos="413"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Accelerated amortization</w:t>
      </w:r>
      <w:r>
        <w:rPr>
          <w:rFonts w:ascii="Arial" w:cs="Arial" w:eastAsia="Arial" w:hAnsi="Arial"/>
          <w:sz w:val="12"/>
          <w:szCs w:val="12"/>
          <w:color w:val="auto"/>
        </w:rPr>
        <w:t>: BellRing has excluded non-cash accelerated amortization charges recorded in connection with discontinuance of certain brands as the amount and frequency of such charges are not consistent.</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340" w:hanging="212"/>
        <w:spacing w:after="0" w:line="250"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Restructuring and facility closure costs, including accelerated depreciation</w:t>
      </w:r>
      <w:r>
        <w:rPr>
          <w:rFonts w:ascii="Arial" w:cs="Arial" w:eastAsia="Arial" w:hAnsi="Arial"/>
          <w:sz w:val="12"/>
          <w:szCs w:val="12"/>
          <w:color w:val="auto"/>
        </w:rPr>
        <w:t>: BellRing has excluded certain costs associated with facility closures as the amount and frequency of such adjustments are not consistent.</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60" w:hanging="212"/>
        <w:spacing w:after="0" w:line="250" w:lineRule="auto"/>
        <w:tabs>
          <w:tab w:leader="none" w:pos="413"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Separation costs</w:t>
      </w:r>
      <w:r>
        <w:rPr>
          <w:rFonts w:ascii="Arial" w:cs="Arial" w:eastAsia="Arial" w:hAnsi="Arial"/>
          <w:sz w:val="12"/>
          <w:szCs w:val="12"/>
          <w:color w:val="auto"/>
        </w:rPr>
        <w:t>: BellRing has excluded certain expenses incurred (i) to effect its separation from Post, (ii) in connection with Post’s plan to distribute Post’s interest in BellRing and (iii) to support its transition into a separate</w:t>
      </w:r>
      <w:r>
        <w:rPr>
          <w:rFonts w:ascii="Arial" w:cs="Arial" w:eastAsia="Arial" w:hAnsi="Arial"/>
          <w:sz w:val="12"/>
          <w:szCs w:val="12"/>
          <w:i w:val="1"/>
          <w:iCs w:val="1"/>
          <w:color w:val="auto"/>
        </w:rPr>
        <w:t xml:space="preserve"> </w:t>
      </w:r>
      <w:r>
        <w:rPr>
          <w:rFonts w:ascii="Arial" w:cs="Arial" w:eastAsia="Arial" w:hAnsi="Arial"/>
          <w:sz w:val="12"/>
          <w:szCs w:val="12"/>
          <w:color w:val="auto"/>
        </w:rPr>
        <w:t>stand-alone, publicly-traded entity,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320" w:hanging="212"/>
        <w:spacing w:after="0" w:line="250"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Loss on refinancing of debt</w:t>
      </w:r>
      <w:r>
        <w:rPr>
          <w:rFonts w:ascii="Arial" w:cs="Arial" w:eastAsia="Arial" w:hAnsi="Arial"/>
          <w:sz w:val="12"/>
          <w:szCs w:val="12"/>
          <w:color w:val="auto"/>
        </w:rPr>
        <w:t>: BellRing has excluded losses recorded on refinancing of debt, inclusive of the write-off of debt issuance costs, as such losses are inconsistent in amount and frequency. Additionally, BellRing</w:t>
      </w:r>
      <w:r>
        <w:rPr>
          <w:rFonts w:ascii="Arial" w:cs="Arial" w:eastAsia="Arial" w:hAnsi="Arial"/>
          <w:sz w:val="12"/>
          <w:szCs w:val="12"/>
          <w:i w:val="1"/>
          <w:iCs w:val="1"/>
          <w:color w:val="auto"/>
        </w:rPr>
        <w:t xml:space="preserve"> </w:t>
      </w:r>
      <w:r>
        <w:rPr>
          <w:rFonts w:ascii="Arial" w:cs="Arial" w:eastAsia="Arial" w:hAnsi="Arial"/>
          <w:sz w:val="12"/>
          <w:szCs w:val="12"/>
          <w:color w:val="auto"/>
        </w:rPr>
        <w:t>believes that these losses do not reflect expected ongoing future operating expenses and do not contribute to a meaningful evaluation of BellRing’s current operating performance or comparisons of BellRing’s operating performance to other periods.</w:t>
      </w:r>
    </w:p>
    <w:p>
      <w:pPr>
        <w:ind w:left="420" w:right="80" w:hanging="212"/>
        <w:spacing w:after="0" w:line="250" w:lineRule="auto"/>
        <w:tabs>
          <w:tab w:leader="none" w:pos="413"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Adjustment to tax receivable agreement (“TRA”) liability</w:t>
      </w:r>
      <w:r>
        <w:rPr>
          <w:rFonts w:ascii="Arial" w:cs="Arial" w:eastAsia="Arial" w:hAnsi="Arial"/>
          <w:sz w:val="12"/>
          <w:szCs w:val="12"/>
          <w:color w:val="auto"/>
        </w:rPr>
        <w:t>: BellRing has excluded adjustments to its TRA liability as the amount and frequency of such adjustments are not consistent. Additionally, BellRing believes that these</w:t>
      </w:r>
      <w:r>
        <w:rPr>
          <w:rFonts w:ascii="Arial" w:cs="Arial" w:eastAsia="Arial" w:hAnsi="Arial"/>
          <w:sz w:val="12"/>
          <w:szCs w:val="12"/>
          <w:i w:val="1"/>
          <w:iCs w:val="1"/>
          <w:color w:val="auto"/>
        </w:rPr>
        <w:t xml:space="preserve"> </w:t>
      </w:r>
      <w:r>
        <w:rPr>
          <w:rFonts w:ascii="Arial" w:cs="Arial" w:eastAsia="Arial" w:hAnsi="Arial"/>
          <w:sz w:val="12"/>
          <w:szCs w:val="12"/>
          <w:color w:val="auto"/>
        </w:rPr>
        <w:t>adjustments do not contribute to a meaningful evaluation of BellRing’s current operating performance or comparisons of BellRing’s operating performance to other periods.</w:t>
      </w:r>
    </w:p>
    <w:p>
      <w:pPr>
        <w:ind w:left="420" w:right="480" w:hanging="212"/>
        <w:spacing w:after="0" w:line="250" w:lineRule="auto"/>
        <w:tabs>
          <w:tab w:leader="none" w:pos="418"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Foreign currency gain/loss on intercompany loans</w:t>
      </w:r>
      <w:r>
        <w:rPr>
          <w:rFonts w:ascii="Arial" w:cs="Arial" w:eastAsia="Arial" w:hAnsi="Arial"/>
          <w:sz w:val="12"/>
          <w:szCs w:val="12"/>
          <w:color w:val="auto"/>
        </w:rPr>
        <w:t>: BellRing has excluded the impact of foreign currency fluctuations related to intercompany loans denominated in currencies other than the functional currency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 legal entity in evaluating BellRing’s performance to allow for more meaningful comparisons of performance to other periods.</w:t>
      </w:r>
    </w:p>
    <w:p>
      <w:pPr>
        <w:ind w:left="420" w:right="40" w:hanging="212"/>
        <w:spacing w:after="0" w:line="273" w:lineRule="auto"/>
        <w:tabs>
          <w:tab w:leader="none" w:pos="420" w:val="left"/>
        </w:tabs>
        <w:numPr>
          <w:ilvl w:val="0"/>
          <w:numId w:val="7"/>
        </w:numPr>
        <w:rPr>
          <w:rFonts w:ascii="Arial" w:cs="Arial" w:eastAsia="Arial" w:hAnsi="Arial"/>
          <w:sz w:val="11"/>
          <w:szCs w:val="11"/>
          <w:color w:val="auto"/>
        </w:rPr>
      </w:pPr>
      <w:r>
        <w:rPr>
          <w:rFonts w:ascii="Arial" w:cs="Arial" w:eastAsia="Arial" w:hAnsi="Arial"/>
          <w:sz w:val="11"/>
          <w:szCs w:val="11"/>
          <w:i w:val="1"/>
          <w:iCs w:val="1"/>
          <w:color w:val="auto"/>
        </w:rPr>
        <w:t>Mark-to-market adjustments on commodity hedges</w:t>
      </w:r>
      <w:r>
        <w:rPr>
          <w:rFonts w:ascii="Arial" w:cs="Arial" w:eastAsia="Arial" w:hAnsi="Arial"/>
          <w:sz w:val="11"/>
          <w:szCs w:val="11"/>
          <w:color w:val="auto"/>
        </w:rPr>
        <w:t>: BellRing has excluded the impact of mark-to-market adjustments on commodity hedges due to the inherent uncertainty and volatility associated with such amounts based on</w:t>
      </w:r>
      <w:r>
        <w:rPr>
          <w:rFonts w:ascii="Arial" w:cs="Arial" w:eastAsia="Arial" w:hAnsi="Arial"/>
          <w:sz w:val="11"/>
          <w:szCs w:val="11"/>
          <w:i w:val="1"/>
          <w:iCs w:val="1"/>
          <w:color w:val="auto"/>
        </w:rPr>
        <w:t xml:space="preserve"> </w:t>
      </w:r>
      <w:r>
        <w:rPr>
          <w:rFonts w:ascii="Arial" w:cs="Arial" w:eastAsia="Arial" w:hAnsi="Arial"/>
          <w:sz w:val="11"/>
          <w:szCs w:val="11"/>
          <w:color w:val="auto"/>
        </w:rPr>
        <w:t>changes in assumptions with respect to fair value estimates. Additionally, these adjustments are primarily non-cash items and the amount and frequency of such adjustments are not consistent.</w:t>
      </w:r>
    </w:p>
    <w:p>
      <w:pPr>
        <w:ind w:left="420" w:right="360" w:hanging="212"/>
        <w:spacing w:after="0" w:line="250"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NCI adjustment</w:t>
      </w:r>
      <w:r>
        <w:rPr>
          <w:rFonts w:ascii="Arial" w:cs="Arial" w:eastAsia="Arial" w:hAnsi="Arial"/>
          <w:sz w:val="12"/>
          <w:szCs w:val="12"/>
          <w:color w:val="auto"/>
        </w:rPr>
        <w:t>: BellRing has included an adjustment to reflect the removal of non-GAAP adjustments which are attributable to redeemable NCI in the calculation of Adjusted net earnings available to Class A common</w:t>
      </w:r>
      <w:r>
        <w:rPr>
          <w:rFonts w:ascii="Arial" w:cs="Arial" w:eastAsia="Arial" w:hAnsi="Arial"/>
          <w:sz w:val="12"/>
          <w:szCs w:val="12"/>
          <w:i w:val="1"/>
          <w:iCs w:val="1"/>
          <w:color w:val="auto"/>
        </w:rPr>
        <w:t xml:space="preserve"> </w:t>
      </w:r>
      <w:r>
        <w:rPr>
          <w:rFonts w:ascii="Arial" w:cs="Arial" w:eastAsia="Arial" w:hAnsi="Arial"/>
          <w:sz w:val="12"/>
          <w:szCs w:val="12"/>
          <w:color w:val="auto"/>
        </w:rPr>
        <w:t>stockholders and Adjusted diluted earnings per share of Class A common stock.</w:t>
      </w:r>
    </w:p>
    <w:p>
      <w:pPr>
        <w:ind w:left="420" w:right="180" w:hanging="212"/>
        <w:spacing w:after="0" w:line="260" w:lineRule="auto"/>
        <w:tabs>
          <w:tab w:leader="none" w:pos="411"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Income tax effect on adjustments</w:t>
      </w:r>
      <w:r>
        <w:rPr>
          <w:rFonts w:ascii="Arial" w:cs="Arial" w:eastAsia="Arial" w:hAnsi="Arial"/>
          <w:sz w:val="12"/>
          <w:szCs w:val="12"/>
          <w:color w:val="auto"/>
        </w:rPr>
        <w:t>: BellRing has included the income tax impact of the non-GAAP adjustments using a rate described in the applicable footnote of the reconciliation tables, as BellRing believes that its GAAP</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income tax rate as reported is not representative of the income tax expense impact of the adjustments.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EBITDA</w:t>
      </w:r>
    </w:p>
    <w:p>
      <w:pPr>
        <w:spacing w:after="0" w:line="1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260"/>
          </w:cols>
          <w:pgMar w:left="300" w:top="643" w:right="339" w:bottom="1440" w:gutter="0" w:footer="0" w:header="0"/>
        </w:sectPr>
      </w:pPr>
    </w:p>
    <w:bookmarkStart w:id="12" w:name="page13"/>
    <w:bookmarkEnd w:id="12"/>
    <w:p>
      <w:pPr>
        <w:jc w:val="both"/>
        <w:ind w:right="20"/>
        <w:spacing w:after="0" w:line="263" w:lineRule="auto"/>
        <w:rPr>
          <w:sz w:val="20"/>
          <w:szCs w:val="20"/>
          <w:color w:val="auto"/>
        </w:rPr>
      </w:pPr>
      <w:r>
        <w:rPr>
          <w:rFonts w:ascii="Arial" w:cs="Arial" w:eastAsia="Arial" w:hAnsi="Arial"/>
          <w:sz w:val="12"/>
          <w:szCs w:val="12"/>
          <w:color w:val="auto"/>
        </w:rPr>
        <w:t>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LLC is required to comply with certain covenants and limitations that are based on variations of EBITDA in BellRing LLC’s financing documents. Management uses Adjusted EBITDA to provide forward-looking guidance and to forecast future results.</w:t>
      </w:r>
    </w:p>
    <w:p>
      <w:pPr>
        <w:spacing w:after="0" w:line="86"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Adjusted EBITDA reflects adjustments for income tax expense, interest expense, net and depreciation and amortization including accelerated depreciation and amortization and the adjustments for restructuring and facility closure costs excluding accelerated depreciation, separation costs, loss on refinancing of debt, adjustment to TRA liability, foreign currency gain/loss on intercompany loans and mark-to-market adjustments on commodity hedges, as discussed above. Additionally, Adjusted EBITDA reflects adjustments for the following items:</w:t>
      </w:r>
    </w:p>
    <w:p>
      <w:pPr>
        <w:spacing w:after="0" w:line="1" w:lineRule="exact"/>
        <w:rPr>
          <w:sz w:val="20"/>
          <w:szCs w:val="20"/>
          <w:color w:val="auto"/>
        </w:rPr>
      </w:pPr>
    </w:p>
    <w:p>
      <w:pPr>
        <w:ind w:left="420" w:hanging="212"/>
        <w:spacing w:after="0" w:line="250"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Stock-based compensation</w:t>
      </w:r>
      <w:r>
        <w:rPr>
          <w:rFonts w:ascii="Arial" w:cs="Arial" w:eastAsia="Arial" w:hAnsi="Arial"/>
          <w:sz w:val="12"/>
          <w:szCs w:val="12"/>
          <w:color w:val="auto"/>
        </w:rPr>
        <w:t>: BellRing’s compensation strategy after the IPO includes the use of BellRing stock-based compensation to attract and retain executives and employees by aligning their long-term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interests with BellRing’s stockholders’ investment interests. BellRing’s director compensation strategy includes an election by any director who earns retainers in which the director may elect to defer compensation granted as a director to BellRing Class A common stock, earning a match on the deferral, both of which are stock-settled upon the director’s retirement from the BellRing board of directors. BellRing’s compensation strategy prior to the IPO included the use of Post stock-based compensation to attract and retain executives and employees by aligning their long-term compensation interests with Post’s shareholders’ investment interests; after the IPO, BellRing continues to be charged for Post stock-based compensation through the master services agreement with Post.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1" w:lineRule="exact"/>
        <w:rPr>
          <w:rFonts w:ascii="Arial" w:cs="Arial" w:eastAsia="Arial" w:hAnsi="Arial"/>
          <w:sz w:val="12"/>
          <w:szCs w:val="12"/>
          <w:color w:val="auto"/>
        </w:rPr>
      </w:pPr>
    </w:p>
    <w:p>
      <w:pPr>
        <w:ind w:left="420" w:right="360" w:hanging="212"/>
        <w:spacing w:after="0" w:line="260" w:lineRule="auto"/>
        <w:tabs>
          <w:tab w:leader="none" w:pos="444"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Net earnings attributable to redeemable noncontrolling interest</w:t>
      </w:r>
      <w:r>
        <w:rPr>
          <w:rFonts w:ascii="Arial" w:cs="Arial" w:eastAsia="Arial" w:hAnsi="Arial"/>
          <w:sz w:val="12"/>
          <w:szCs w:val="12"/>
          <w:color w:val="auto"/>
        </w:rPr>
        <w:t>: BellRing has included adjustments for the portion of its consolidated net earnings which was allocated to redeemable NCI, allowing for the calculation of</w:t>
      </w:r>
      <w:r>
        <w:rPr>
          <w:rFonts w:ascii="Arial" w:cs="Arial" w:eastAsia="Arial" w:hAnsi="Arial"/>
          <w:sz w:val="12"/>
          <w:szCs w:val="12"/>
          <w:i w:val="1"/>
          <w:iCs w:val="1"/>
          <w:color w:val="auto"/>
        </w:rPr>
        <w:t xml:space="preserve"> </w:t>
      </w:r>
      <w:r>
        <w:rPr>
          <w:rFonts w:ascii="Arial" w:cs="Arial" w:eastAsia="Arial" w:hAnsi="Arial"/>
          <w:sz w:val="12"/>
          <w:szCs w:val="12"/>
          <w:color w:val="auto"/>
        </w:rPr>
        <w:t>Adjusted EBITDA to include 100% of BellRing as BellRing’s management evaluates BellRing’s operating performance on a basis that includes 100% of BellRing.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80"/>
          </w:cols>
          <w:pgMar w:left="300" w:top="644" w:right="3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CLASS A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NET EARNINGS AVAILABLE TO CLASS A COMMON STOCKHOLDERS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3"/>
          </w:tcPr>
          <w:p>
            <w:pPr>
              <w:jc w:val="right"/>
              <w:ind w:right="642"/>
              <w:spacing w:after="0"/>
              <w:rPr>
                <w:sz w:val="20"/>
                <w:szCs w:val="20"/>
                <w:color w:val="auto"/>
              </w:rPr>
            </w:pPr>
            <w:r>
              <w:rPr>
                <w:rFonts w:ascii="Arial" w:cs="Arial" w:eastAsia="Arial" w:hAnsi="Arial"/>
                <w:sz w:val="11"/>
                <w:szCs w:val="11"/>
                <w:b w:val="1"/>
                <w:bCs w:val="1"/>
                <w:color w:val="auto"/>
              </w:rPr>
              <w:t>Three Months Ended</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42"/>
        </w:trPr>
        <w:tc>
          <w:tcPr>
            <w:tcW w:w="4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1"/>
                <w:szCs w:val="11"/>
                <w:b w:val="1"/>
                <w:bCs w:val="1"/>
                <w:color w:val="auto"/>
              </w:rPr>
              <w:t>September 30,</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October 21, 2019 to September</w:t>
            </w:r>
          </w:p>
        </w:tc>
      </w:tr>
      <w:tr>
        <w:trPr>
          <w:trHeight w:val="160"/>
        </w:trPr>
        <w:tc>
          <w:tcPr>
            <w:tcW w:w="4420" w:type="dxa"/>
            <w:vAlign w:val="bottom"/>
          </w:tcPr>
          <w:p>
            <w:pPr>
              <w:spacing w:after="0"/>
              <w:rPr>
                <w:sz w:val="13"/>
                <w:szCs w:val="13"/>
                <w:color w:val="auto"/>
              </w:rPr>
            </w:pPr>
          </w:p>
        </w:tc>
        <w:tc>
          <w:tcPr>
            <w:tcW w:w="1020" w:type="dxa"/>
            <w:vAlign w:val="bottom"/>
          </w:tcPr>
          <w:p>
            <w:pPr>
              <w:jc w:val="right"/>
              <w:ind w:right="82"/>
              <w:spacing w:after="0"/>
              <w:rPr>
                <w:sz w:val="20"/>
                <w:szCs w:val="20"/>
                <w:color w:val="auto"/>
              </w:rPr>
            </w:pPr>
            <w:r>
              <w:rPr>
                <w:rFonts w:ascii="Arial" w:cs="Arial" w:eastAsia="Arial" w:hAnsi="Arial"/>
                <w:sz w:val="11"/>
                <w:szCs w:val="11"/>
                <w:b w:val="1"/>
                <w:bCs w:val="1"/>
                <w:color w:val="auto"/>
              </w:rPr>
              <w:t>2021</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142"/>
              <w:spacing w:after="0"/>
              <w:rPr>
                <w:sz w:val="20"/>
                <w:szCs w:val="20"/>
                <w:color w:val="auto"/>
              </w:rPr>
            </w:pPr>
            <w:r>
              <w:rPr>
                <w:rFonts w:ascii="Arial" w:cs="Arial" w:eastAsia="Arial" w:hAnsi="Arial"/>
                <w:sz w:val="11"/>
                <w:szCs w:val="11"/>
                <w:b w:val="1"/>
                <w:bCs w:val="1"/>
                <w:color w:val="auto"/>
              </w:rPr>
              <w:t>2020</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1"/>
                <w:szCs w:val="11"/>
                <w:b w:val="1"/>
                <w:bCs w:val="1"/>
                <w:color w:val="auto"/>
              </w:rPr>
              <w:t>Year Ended September 30, 2021</w:t>
            </w:r>
          </w:p>
        </w:tc>
        <w:tc>
          <w:tcPr>
            <w:tcW w:w="320" w:type="dxa"/>
            <w:vAlign w:val="bottom"/>
          </w:tcPr>
          <w:p>
            <w:pPr>
              <w:spacing w:after="0"/>
              <w:rPr>
                <w:sz w:val="13"/>
                <w:szCs w:val="13"/>
                <w:color w:val="auto"/>
              </w:rPr>
            </w:pPr>
          </w:p>
        </w:tc>
        <w:tc>
          <w:tcPr>
            <w:tcW w:w="1220" w:type="dxa"/>
            <w:vAlign w:val="bottom"/>
          </w:tcPr>
          <w:p>
            <w:pPr>
              <w:jc w:val="right"/>
              <w:ind w:right="520"/>
              <w:spacing w:after="0"/>
              <w:rPr>
                <w:sz w:val="20"/>
                <w:szCs w:val="20"/>
                <w:color w:val="auto"/>
              </w:rPr>
            </w:pPr>
            <w:r>
              <w:rPr>
                <w:rFonts w:ascii="Arial" w:cs="Arial" w:eastAsia="Arial" w:hAnsi="Arial"/>
                <w:sz w:val="11"/>
                <w:szCs w:val="11"/>
                <w:b w:val="1"/>
                <w:bCs w:val="1"/>
                <w:color w:val="auto"/>
              </w:rPr>
              <w:t>30, 2020</w:t>
            </w:r>
          </w:p>
        </w:tc>
      </w:tr>
      <w:tr>
        <w:trPr>
          <w:trHeight w:val="144"/>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1020" w:type="dxa"/>
            <w:vAlign w:val="bottom"/>
            <w:tcBorders>
              <w:top w:val="single" w:sz="8" w:color="auto"/>
            </w:tcBorders>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942"/>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502"/>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w:t>
            </w: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w:t>
            </w:r>
          </w:p>
        </w:tc>
      </w:tr>
      <w:tr>
        <w:trPr>
          <w:trHeight w:val="153"/>
        </w:trPr>
        <w:tc>
          <w:tcPr>
            <w:tcW w:w="44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Dilutive impact of net earnings attributable to NCI</w:t>
            </w: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r>
      <w:tr>
        <w:trPr>
          <w:trHeight w:val="142"/>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for Diluted Earnings per Share</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w:t>
            </w:r>
          </w:p>
        </w:tc>
      </w:tr>
      <w:tr>
        <w:trPr>
          <w:trHeight w:val="171"/>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3"/>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Accelerated amortization</w:t>
            </w:r>
          </w:p>
        </w:tc>
        <w:tc>
          <w:tcPr>
            <w:tcW w:w="10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29.9</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Separation costs after the IPO</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0.8</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refinancing of debt</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Adjustment to TRA liability</w:t>
            </w:r>
          </w:p>
        </w:tc>
        <w:tc>
          <w:tcPr>
            <w:tcW w:w="10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(0.4)</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currency gain on intercompany loans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Mark-to-market adjustments on commodity hedges</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NCI adjustment</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r>
      <w:tr>
        <w:trPr>
          <w:trHeight w:val="142"/>
        </w:trPr>
        <w:tc>
          <w:tcPr>
            <w:tcW w:w="4420" w:type="dxa"/>
            <w:vAlign w:val="bottom"/>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10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0.7</w:t>
            </w:r>
          </w:p>
        </w:tc>
      </w:tr>
      <w:tr>
        <w:trPr>
          <w:trHeight w:val="153"/>
        </w:trPr>
        <w:tc>
          <w:tcPr>
            <w:tcW w:w="4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4420" w:type="dxa"/>
            <w:vAlign w:val="bottom"/>
          </w:tcPr>
          <w:p>
            <w:pPr>
              <w:spacing w:after="0"/>
              <w:rPr>
                <w:sz w:val="20"/>
                <w:szCs w:val="20"/>
                <w:color w:val="auto"/>
              </w:rPr>
            </w:pPr>
            <w:r>
              <w:rPr>
                <w:rFonts w:ascii="Arial" w:cs="Arial" w:eastAsia="Arial" w:hAnsi="Arial"/>
                <w:sz w:val="12"/>
                <w:szCs w:val="12"/>
                <w:b w:val="1"/>
                <w:bCs w:val="1"/>
                <w:color w:val="auto"/>
              </w:rPr>
              <w:t>Adjusted Net Earnings Available to Class A Common Stockholders</w:t>
            </w:r>
          </w:p>
        </w:tc>
        <w:tc>
          <w:tcPr>
            <w:tcW w:w="102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9.9</w:t>
            </w:r>
          </w:p>
        </w:tc>
        <w:tc>
          <w:tcPr>
            <w:tcW w:w="2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942"/>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2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35.7</w:t>
            </w:r>
          </w:p>
        </w:tc>
        <w:tc>
          <w:tcPr>
            <w:tcW w:w="2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24.3</w:t>
            </w:r>
          </w:p>
        </w:tc>
      </w:tr>
      <w:tr>
        <w:trPr>
          <w:trHeight w:val="20"/>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20" w:firstLine="4"/>
        <w:spacing w:after="0" w:line="250" w:lineRule="auto"/>
        <w:tabs>
          <w:tab w:leader="none" w:pos="121"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For all periods, income tax effect on adjustments was calculated on all items, except for separation costs after the IPO, adjustment to TRA liability and NCI adjustment, using a rate of 7.0%, which represents the effective income tax rate on BellRing’s 28.8% distributive share from BellRing LLC. For all periods, NCI adjustment was calculated using a rate of 0.0%. For the three months and year ended September 30, 2021, income tax effect for separation costs after the IPO was calculated using a rate of 24.0%. For the October 21, 2019 to September 30, 2020 period, income tax effect for separation costs after the IPO was calculated using a rate of 0.0%. Income tax effect for adjustment to TRA liability was calculated using a rate of 24.0%, which represents the effective income tax rate of BellRing.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643" w:right="2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1"/>
          <w:szCs w:val="11"/>
          <w:b w:val="1"/>
          <w:bCs w:val="1"/>
          <w:color w:val="auto"/>
        </w:rPr>
        <w:t>RECONCILIATION OF DILUTED EARNINGS PER SHARE OF CLASS A COMMON STOCK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DILUTED EARNINGS PER SHARE OF CLASS A COMMON STOCK (Unaudited)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0" w:type="dxa"/>
            <w:vAlign w:val="bottom"/>
            <w:gridSpan w:val="3"/>
          </w:tcPr>
          <w:p>
            <w:pPr>
              <w:jc w:val="right"/>
              <w:ind w:right="622"/>
              <w:spacing w:after="0"/>
              <w:rPr>
                <w:sz w:val="20"/>
                <w:szCs w:val="20"/>
                <w:color w:val="auto"/>
              </w:rPr>
            </w:pPr>
            <w:r>
              <w:rPr>
                <w:rFonts w:ascii="Arial" w:cs="Arial" w:eastAsia="Arial" w:hAnsi="Arial"/>
                <w:sz w:val="11"/>
                <w:szCs w:val="11"/>
                <w:b w:val="1"/>
                <w:bCs w:val="1"/>
                <w:color w:val="auto"/>
              </w:rPr>
              <w:t>Three Months Ended</w:t>
            </w: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42"/>
        </w:trPr>
        <w:tc>
          <w:tcPr>
            <w:tcW w:w="4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782"/>
              <w:spacing w:after="0"/>
              <w:rPr>
                <w:sz w:val="20"/>
                <w:szCs w:val="20"/>
                <w:color w:val="auto"/>
              </w:rPr>
            </w:pPr>
            <w:r>
              <w:rPr>
                <w:rFonts w:ascii="Arial" w:cs="Arial" w:eastAsia="Arial" w:hAnsi="Arial"/>
                <w:sz w:val="11"/>
                <w:szCs w:val="11"/>
                <w:b w:val="1"/>
                <w:bCs w:val="1"/>
                <w:color w:val="auto"/>
              </w:rPr>
              <w:t>September 30,</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October 21, 2019 to September</w:t>
            </w:r>
          </w:p>
        </w:tc>
      </w:tr>
      <w:tr>
        <w:trPr>
          <w:trHeight w:val="160"/>
        </w:trPr>
        <w:tc>
          <w:tcPr>
            <w:tcW w:w="4420" w:type="dxa"/>
            <w:vAlign w:val="bottom"/>
          </w:tcPr>
          <w:p>
            <w:pPr>
              <w:spacing w:after="0"/>
              <w:rPr>
                <w:sz w:val="13"/>
                <w:szCs w:val="13"/>
                <w:color w:val="auto"/>
              </w:rPr>
            </w:pPr>
          </w:p>
        </w:tc>
        <w:tc>
          <w:tcPr>
            <w:tcW w:w="1020" w:type="dxa"/>
            <w:vAlign w:val="bottom"/>
          </w:tcPr>
          <w:p>
            <w:pPr>
              <w:jc w:val="right"/>
              <w:ind w:right="82"/>
              <w:spacing w:after="0"/>
              <w:rPr>
                <w:sz w:val="20"/>
                <w:szCs w:val="20"/>
                <w:color w:val="auto"/>
              </w:rPr>
            </w:pPr>
            <w:r>
              <w:rPr>
                <w:rFonts w:ascii="Arial" w:cs="Arial" w:eastAsia="Arial" w:hAnsi="Arial"/>
                <w:sz w:val="11"/>
                <w:szCs w:val="11"/>
                <w:b w:val="1"/>
                <w:bCs w:val="1"/>
                <w:color w:val="auto"/>
              </w:rPr>
              <w:t>2021</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22"/>
              <w:spacing w:after="0"/>
              <w:rPr>
                <w:sz w:val="20"/>
                <w:szCs w:val="20"/>
                <w:color w:val="auto"/>
              </w:rPr>
            </w:pPr>
            <w:r>
              <w:rPr>
                <w:rFonts w:ascii="Arial" w:cs="Arial" w:eastAsia="Arial" w:hAnsi="Arial"/>
                <w:sz w:val="11"/>
                <w:szCs w:val="11"/>
                <w:b w:val="1"/>
                <w:bCs w:val="1"/>
                <w:color w:val="auto"/>
              </w:rPr>
              <w:t>2020</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1"/>
                <w:szCs w:val="11"/>
                <w:b w:val="1"/>
                <w:bCs w:val="1"/>
                <w:color w:val="auto"/>
              </w:rPr>
              <w:t>Year Ended September 30, 2021</w:t>
            </w:r>
          </w:p>
        </w:tc>
        <w:tc>
          <w:tcPr>
            <w:tcW w:w="320" w:type="dxa"/>
            <w:vAlign w:val="bottom"/>
          </w:tcPr>
          <w:p>
            <w:pPr>
              <w:spacing w:after="0"/>
              <w:rPr>
                <w:sz w:val="13"/>
                <w:szCs w:val="13"/>
                <w:color w:val="auto"/>
              </w:rPr>
            </w:pPr>
          </w:p>
        </w:tc>
        <w:tc>
          <w:tcPr>
            <w:tcW w:w="1220" w:type="dxa"/>
            <w:vAlign w:val="bottom"/>
          </w:tcPr>
          <w:p>
            <w:pPr>
              <w:jc w:val="right"/>
              <w:ind w:right="520"/>
              <w:spacing w:after="0"/>
              <w:rPr>
                <w:sz w:val="20"/>
                <w:szCs w:val="20"/>
                <w:color w:val="auto"/>
              </w:rPr>
            </w:pPr>
            <w:r>
              <w:rPr>
                <w:rFonts w:ascii="Arial" w:cs="Arial" w:eastAsia="Arial" w:hAnsi="Arial"/>
                <w:sz w:val="11"/>
                <w:szCs w:val="11"/>
                <w:b w:val="1"/>
                <w:bCs w:val="1"/>
                <w:color w:val="auto"/>
              </w:rPr>
              <w:t>30, 2020</w:t>
            </w:r>
          </w:p>
        </w:tc>
      </w:tr>
      <w:tr>
        <w:trPr>
          <w:trHeight w:val="144"/>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Diluted Earnings per share of Class A Common Stock</w:t>
            </w:r>
          </w:p>
        </w:tc>
        <w:tc>
          <w:tcPr>
            <w:tcW w:w="1020" w:type="dxa"/>
            <w:vAlign w:val="bottom"/>
            <w:tcBorders>
              <w:top w:val="single" w:sz="8" w:color="auto"/>
            </w:tcBorders>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2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ind w:right="922"/>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0.26</w:t>
            </w: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502"/>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0.70</w:t>
            </w: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0.60</w:t>
            </w:r>
          </w:p>
        </w:tc>
      </w:tr>
      <w:tr>
        <w:trPr>
          <w:trHeight w:val="171"/>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3"/>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Accelerated amortization</w:t>
            </w:r>
          </w:p>
        </w:tc>
        <w:tc>
          <w:tcPr>
            <w:tcW w:w="10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0.75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0.14</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Separation costs after the IPO</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0.01</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0.01</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0.02</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refinancing of debt</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Adjustment to TRA liability</w:t>
            </w:r>
          </w:p>
        </w:tc>
        <w:tc>
          <w:tcPr>
            <w:tcW w:w="10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(0.01)</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currency gain on intercompany loans</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Mark-to-market adjustments on commodity hedges</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(0.01)</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NCI adjustment</w:t>
            </w:r>
          </w:p>
        </w:tc>
        <w:tc>
          <w:tcPr>
            <w:tcW w:w="10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(0.66)</w:t>
            </w:r>
          </w:p>
        </w:tc>
        <w:tc>
          <w:tcPr>
            <w:tcW w:w="2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0.01</w:t>
            </w:r>
          </w:p>
        </w:tc>
      </w:tr>
      <w:tr>
        <w:trPr>
          <w:trHeight w:val="142"/>
        </w:trPr>
        <w:tc>
          <w:tcPr>
            <w:tcW w:w="4420" w:type="dxa"/>
            <w:vAlign w:val="bottom"/>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102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(0.01)</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0.27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0.02</w:t>
            </w:r>
          </w:p>
        </w:tc>
      </w:tr>
      <w:tr>
        <w:trPr>
          <w:trHeight w:val="153"/>
        </w:trPr>
        <w:tc>
          <w:tcPr>
            <w:tcW w:w="4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2"/>
                <w:szCs w:val="12"/>
                <w:b w:val="1"/>
                <w:bCs w:val="1"/>
                <w:color w:val="auto"/>
              </w:rPr>
              <w:t>Adjusted Diluted Earnings per share of Class A Common Stock</w:t>
            </w:r>
          </w:p>
        </w:tc>
        <w:tc>
          <w:tcPr>
            <w:tcW w:w="1020" w:type="dxa"/>
            <w:vAlign w:val="bottom"/>
            <w:tcBorders>
              <w:top w:val="single" w:sz="8" w:color="auto"/>
              <w:bottom w:val="single" w:sz="8" w:color="auto"/>
            </w:tcBorders>
          </w:tcPr>
          <w:p>
            <w:pPr>
              <w:jc w:val="right"/>
              <w:ind w:right="882"/>
              <w:spacing w:after="0" w:line="124" w:lineRule="exact"/>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0.25</w:t>
            </w:r>
          </w:p>
        </w:tc>
        <w:tc>
          <w:tcPr>
            <w:tcW w:w="220" w:type="dxa"/>
            <w:vAlign w:val="bottom"/>
          </w:tcPr>
          <w:p>
            <w:pPr>
              <w:spacing w:after="0"/>
              <w:rPr>
                <w:sz w:val="10"/>
                <w:szCs w:val="10"/>
                <w:color w:val="auto"/>
              </w:rPr>
            </w:pPr>
          </w:p>
        </w:tc>
        <w:tc>
          <w:tcPr>
            <w:tcW w:w="1060" w:type="dxa"/>
            <w:vAlign w:val="bottom"/>
            <w:tcBorders>
              <w:top w:val="single" w:sz="8" w:color="auto"/>
              <w:bottom w:val="single" w:sz="8" w:color="auto"/>
            </w:tcBorders>
          </w:tcPr>
          <w:p>
            <w:pPr>
              <w:jc w:val="right"/>
              <w:ind w:right="922"/>
              <w:spacing w:after="0" w:line="124" w:lineRule="exact"/>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0.25</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502"/>
              <w:spacing w:after="0" w:line="124" w:lineRule="exact"/>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0.90</w:t>
            </w:r>
          </w:p>
        </w:tc>
        <w:tc>
          <w:tcPr>
            <w:tcW w:w="22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0.62</w:t>
            </w:r>
          </w:p>
        </w:tc>
      </w:tr>
      <w:tr>
        <w:trPr>
          <w:trHeight w:val="20"/>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20" w:firstLine="4"/>
        <w:spacing w:after="0" w:line="250" w:lineRule="auto"/>
        <w:tabs>
          <w:tab w:leader="none" w:pos="121"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For all periods, income tax effect on adjustments was calculated on all items, except for separation costs after the IPO, adjustment to TRA liability and NCI adjustment, using a rate of 7.0%, which represents the effective income tax rate on BellRing’s 28.8% distributive share from BellRing LLC. For all periods, NCI adjustment was calculated using a rate of 0.0%. For the three months and year ended September 30, 2021, income tax effect for separation costs after the IPO was calculated using a rate of 24.0%. For the October 21, 2019 to September 30, 2020 period, income tax effect for separation costs after the IPO was calculated using a rate of 0.0%. Income tax effect for adjustment to TRA liability was calculated using a rate of 24.0%, which represents the effective income tax rate of BellRing.</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643" w:right="29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CLASS A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EBITDA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tbl>
      <w:tblPr>
        <w:tblLayout w:type="fixed"/>
        <w:tblInd w:w="0" w:type="dxa"/>
        <w:tblCellMar>
          <w:top w:w="0" w:type="dxa"/>
          <w:left w:w="0" w:type="dxa"/>
          <w:bottom w:w="0" w:type="dxa"/>
          <w:right w:w="0" w:type="dxa"/>
        </w:tblCellMar>
      </w:tblPr>
      <w:tr>
        <w:trPr>
          <w:trHeight w:val="123"/>
        </w:trPr>
        <w:tc>
          <w:tcPr>
            <w:tcW w:w="6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gridSpan w:val="3"/>
          </w:tcPr>
          <w:p>
            <w:pPr>
              <w:jc w:val="right"/>
              <w:spacing w:after="0" w:line="123" w:lineRule="exact"/>
              <w:rPr>
                <w:sz w:val="20"/>
                <w:szCs w:val="20"/>
                <w:color w:val="auto"/>
              </w:rPr>
            </w:pPr>
            <w:r>
              <w:rPr>
                <w:rFonts w:ascii="Arial" w:cs="Arial" w:eastAsia="Arial" w:hAnsi="Arial"/>
                <w:sz w:val="11"/>
                <w:szCs w:val="11"/>
                <w:b w:val="1"/>
                <w:bCs w:val="1"/>
                <w:color w:val="auto"/>
                <w:w w:val="90"/>
              </w:rPr>
              <w:t>Three Months Ended</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3"/>
          </w:tcPr>
          <w:p>
            <w:pPr>
              <w:jc w:val="right"/>
              <w:ind w:right="100"/>
              <w:spacing w:after="0" w:line="123" w:lineRule="exact"/>
              <w:rPr>
                <w:sz w:val="20"/>
                <w:szCs w:val="20"/>
                <w:color w:val="auto"/>
              </w:rPr>
            </w:pPr>
            <w:r>
              <w:rPr>
                <w:rFonts w:ascii="Arial" w:cs="Arial" w:eastAsia="Arial" w:hAnsi="Arial"/>
                <w:sz w:val="11"/>
                <w:szCs w:val="11"/>
                <w:b w:val="1"/>
                <w:bCs w:val="1"/>
                <w:color w:val="auto"/>
              </w:rPr>
              <w:t>Year Ended</w:t>
            </w:r>
          </w:p>
        </w:tc>
        <w:tc>
          <w:tcPr>
            <w:tcW w:w="760" w:type="dxa"/>
            <w:vAlign w:val="bottom"/>
          </w:tcPr>
          <w:p>
            <w:pPr>
              <w:spacing w:after="0"/>
              <w:rPr>
                <w:sz w:val="10"/>
                <w:szCs w:val="10"/>
                <w:color w:val="auto"/>
              </w:rPr>
            </w:pPr>
          </w:p>
        </w:tc>
      </w:tr>
      <w:tr>
        <w:trPr>
          <w:trHeight w:val="142"/>
        </w:trPr>
        <w:tc>
          <w:tcPr>
            <w:tcW w:w="6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September 30,</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September 30,</w:t>
            </w:r>
          </w:p>
        </w:tc>
        <w:tc>
          <w:tcPr>
            <w:tcW w:w="760" w:type="dxa"/>
            <w:vAlign w:val="bottom"/>
            <w:tcBorders>
              <w:bottom w:val="single" w:sz="8" w:color="auto"/>
            </w:tcBorders>
          </w:tcPr>
          <w:p>
            <w:pPr>
              <w:spacing w:after="0"/>
              <w:rPr>
                <w:sz w:val="12"/>
                <w:szCs w:val="12"/>
                <w:color w:val="auto"/>
              </w:rPr>
            </w:pPr>
          </w:p>
        </w:tc>
      </w:tr>
      <w:tr>
        <w:trPr>
          <w:trHeight w:val="133"/>
        </w:trPr>
        <w:tc>
          <w:tcPr>
            <w:tcW w:w="61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w w:val="89"/>
              </w:rPr>
              <w:t>2020</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1"/>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rPr>
              <w:t>2020</w:t>
            </w:r>
          </w:p>
        </w:tc>
      </w:tr>
      <w:tr>
        <w:trPr>
          <w:trHeight w:val="144"/>
        </w:trPr>
        <w:tc>
          <w:tcPr>
            <w:tcW w:w="6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660" w:type="dxa"/>
            <w:vAlign w:val="bottom"/>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9.7</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10.0</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27.6</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23.5</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Income tax expense</w:t>
            </w:r>
          </w:p>
        </w:tc>
        <w:tc>
          <w:tcPr>
            <w:tcW w:w="660" w:type="dxa"/>
            <w:vAlign w:val="bottom"/>
          </w:tcPr>
          <w:p>
            <w:pPr>
              <w:spacing w:after="0"/>
              <w:rPr>
                <w:sz w:val="13"/>
                <w:szCs w:val="13"/>
                <w:color w:val="auto"/>
              </w:rPr>
            </w:pPr>
          </w:p>
        </w:tc>
        <w:tc>
          <w:tcPr>
            <w:tcW w:w="400" w:type="dxa"/>
            <w:vAlign w:val="bottom"/>
          </w:tcPr>
          <w:p>
            <w:pPr>
              <w:jc w:val="right"/>
              <w:ind w:right="101"/>
              <w:spacing w:after="0"/>
              <w:rPr>
                <w:sz w:val="20"/>
                <w:szCs w:val="20"/>
                <w:color w:val="auto"/>
              </w:rPr>
            </w:pPr>
            <w:r>
              <w:rPr>
                <w:rFonts w:ascii="Arial" w:cs="Arial" w:eastAsia="Arial" w:hAnsi="Arial"/>
                <w:sz w:val="12"/>
                <w:szCs w:val="12"/>
                <w:color w:val="auto"/>
              </w:rPr>
              <w:t>3.0</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8.8</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9.2</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9.6</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43.2</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54.7</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Depreciation and amortization, including accelerated depreciation and amortization</w:t>
            </w:r>
          </w:p>
        </w:tc>
        <w:tc>
          <w:tcPr>
            <w:tcW w:w="660" w:type="dxa"/>
            <w:vAlign w:val="bottom"/>
          </w:tcPr>
          <w:p>
            <w:pPr>
              <w:spacing w:after="0"/>
              <w:rPr>
                <w:sz w:val="13"/>
                <w:szCs w:val="13"/>
                <w:color w:val="auto"/>
              </w:rPr>
            </w:pPr>
          </w:p>
        </w:tc>
        <w:tc>
          <w:tcPr>
            <w:tcW w:w="400" w:type="dxa"/>
            <w:vAlign w:val="bottom"/>
          </w:tcPr>
          <w:p>
            <w:pPr>
              <w:jc w:val="right"/>
              <w:ind w:right="101"/>
              <w:spacing w:after="0"/>
              <w:rPr>
                <w:sz w:val="20"/>
                <w:szCs w:val="20"/>
                <w:color w:val="auto"/>
              </w:rPr>
            </w:pPr>
            <w:r>
              <w:rPr>
                <w:rFonts w:ascii="Arial" w:cs="Arial" w:eastAsia="Arial" w:hAnsi="Arial"/>
                <w:sz w:val="12"/>
                <w:szCs w:val="12"/>
                <w:color w:val="auto"/>
              </w:rPr>
              <w:t>5.4</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6.3</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53.7</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25.3</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Restructuring and facility closure costs, excluding accelerated depreciation</w:t>
            </w: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(0.1)</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5.2</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660" w:type="dxa"/>
            <w:vAlign w:val="bottom"/>
          </w:tcPr>
          <w:p>
            <w:pPr>
              <w:spacing w:after="0"/>
              <w:rPr>
                <w:sz w:val="13"/>
                <w:szCs w:val="13"/>
                <w:color w:val="auto"/>
              </w:rPr>
            </w:pPr>
          </w:p>
        </w:tc>
        <w:tc>
          <w:tcPr>
            <w:tcW w:w="400" w:type="dxa"/>
            <w:vAlign w:val="bottom"/>
          </w:tcPr>
          <w:p>
            <w:pPr>
              <w:jc w:val="right"/>
              <w:ind w:right="101"/>
              <w:spacing w:after="0"/>
              <w:rPr>
                <w:sz w:val="20"/>
                <w:szCs w:val="20"/>
                <w:color w:val="auto"/>
              </w:rPr>
            </w:pPr>
            <w:r>
              <w:rPr>
                <w:rFonts w:ascii="Arial" w:cs="Arial" w:eastAsia="Arial" w:hAnsi="Arial"/>
                <w:sz w:val="12"/>
                <w:szCs w:val="12"/>
                <w:color w:val="auto"/>
              </w:rPr>
              <w:t>1.9</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1.7</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7.3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6.5</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Separation costs</w:t>
            </w: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0.2</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0.2</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1.9</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Loss on refinancing of debt</w:t>
            </w:r>
          </w:p>
        </w:tc>
        <w:tc>
          <w:tcPr>
            <w:tcW w:w="660" w:type="dxa"/>
            <w:vAlign w:val="bottom"/>
          </w:tcPr>
          <w:p>
            <w:pPr>
              <w:spacing w:after="0"/>
              <w:rPr>
                <w:sz w:val="13"/>
                <w:szCs w:val="13"/>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1.6</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Adjustment to TRA liability</w:t>
            </w:r>
          </w:p>
        </w:tc>
        <w:tc>
          <w:tcPr>
            <w:tcW w:w="6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(0.4)</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Foreign currency gain on intercompany loans</w:t>
            </w:r>
          </w:p>
        </w:tc>
        <w:tc>
          <w:tcPr>
            <w:tcW w:w="660" w:type="dxa"/>
            <w:vAlign w:val="bottom"/>
          </w:tcPr>
          <w:p>
            <w:pPr>
              <w:spacing w:after="0"/>
              <w:rPr>
                <w:sz w:val="13"/>
                <w:szCs w:val="13"/>
                <w:color w:val="auto"/>
              </w:rPr>
            </w:pPr>
          </w:p>
        </w:tc>
        <w:tc>
          <w:tcPr>
            <w:tcW w:w="400" w:type="dxa"/>
            <w:vAlign w:val="bottom"/>
          </w:tcPr>
          <w:p>
            <w:pPr>
              <w:jc w:val="right"/>
              <w:ind w:right="101"/>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(0.3)</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0.1</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(0.5)</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Mark-to-market adjustments on commodity hedges</w:t>
            </w: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(0.2)</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(0.2)</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earnings attributable to redeemable noncontrolling interest</w:t>
            </w: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w w:val="93"/>
              </w:rPr>
              <w:t>30.8</w:t>
            </w:r>
          </w:p>
        </w:tc>
        <w:tc>
          <w:tcPr>
            <w:tcW w:w="2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25.5</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86.8</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76.6</w:t>
            </w:r>
          </w:p>
        </w:tc>
      </w:tr>
      <w:tr>
        <w:trPr>
          <w:trHeight w:val="158"/>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Adjusted EBITDA</w:t>
            </w:r>
          </w:p>
        </w:tc>
        <w:tc>
          <w:tcPr>
            <w:tcW w:w="6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93"/>
              </w:rPr>
              <w:t>60.5</w:t>
            </w:r>
          </w:p>
        </w:tc>
        <w:tc>
          <w:tcPr>
            <w:tcW w:w="2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56.7</w:t>
            </w:r>
          </w:p>
        </w:tc>
        <w:tc>
          <w:tcPr>
            <w:tcW w:w="3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233.9</w:t>
            </w:r>
          </w:p>
        </w:tc>
        <w:tc>
          <w:tcPr>
            <w:tcW w:w="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197.2</w:t>
            </w:r>
          </w:p>
        </w:tc>
      </w:tr>
      <w:tr>
        <w:trPr>
          <w:trHeight w:val="153"/>
        </w:trPr>
        <w:tc>
          <w:tcPr>
            <w:tcW w:w="6180" w:type="dxa"/>
            <w:vAlign w:val="bottom"/>
          </w:tcPr>
          <w:p>
            <w:pPr>
              <w:spacing w:after="0"/>
              <w:rPr>
                <w:sz w:val="20"/>
                <w:szCs w:val="20"/>
                <w:color w:val="auto"/>
              </w:rPr>
            </w:pPr>
            <w:r>
              <w:rPr>
                <w:rFonts w:ascii="Arial" w:cs="Arial" w:eastAsia="Arial" w:hAnsi="Arial"/>
                <w:sz w:val="12"/>
                <w:szCs w:val="12"/>
                <w:b w:val="1"/>
                <w:bCs w:val="1"/>
                <w:color w:val="auto"/>
              </w:rPr>
              <w:t>Adjusted EBITDA as a percentage of Net Sales</w:t>
            </w: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17.8 %</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20.1 %</w:t>
            </w:r>
          </w:p>
        </w:tc>
        <w:tc>
          <w:tcPr>
            <w:tcW w:w="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18.8 %</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20.0 %</w:t>
            </w:r>
          </w:p>
        </w:tc>
      </w:tr>
      <w:tr>
        <w:trPr>
          <w:trHeight w:val="20"/>
        </w:trPr>
        <w:tc>
          <w:tcPr>
            <w:tcW w:w="6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20"/>
          </w:cols>
          <w:pgMar w:left="340" w:top="751" w:right="339" w:bottom="1440"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684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5040630</wp:posOffset>
            </wp:positionV>
            <wp:extent cx="713041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78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67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0"/>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2021-11-18T16:11:56Z</dcterms:created>
  <dcterms:modified xsi:type="dcterms:W3CDTF">2021-11-18T16:11:56Z</dcterms:modified>
</cp:coreProperties>
</file>