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19"/>
        <w:spacing w:after="0" w:line="235" w:lineRule="auto"/>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25"/>
          <w:szCs w:val="25"/>
          <w:b w:val="1"/>
          <w:bCs w:val="1"/>
          <w:color w:val="auto"/>
        </w:rPr>
        <w:t>__________________</w:t>
      </w:r>
    </w:p>
    <w:p>
      <w:pPr>
        <w:spacing w:after="0" w:line="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3"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25"/>
          <w:szCs w:val="25"/>
          <w:b w:val="1"/>
          <w:bCs w:val="1"/>
          <w:color w:val="auto"/>
        </w:rPr>
        <w:t>__________________</w:t>
      </w:r>
    </w:p>
    <w:p>
      <w:pPr>
        <w:spacing w:after="0" w:line="218" w:lineRule="exact"/>
        <w:rPr>
          <w:sz w:val="24"/>
          <w:szCs w:val="24"/>
          <w:color w:val="auto"/>
        </w:rPr>
      </w:pPr>
    </w:p>
    <w:p>
      <w:pPr>
        <w:jc w:val="center"/>
        <w:ind w:left="4000" w:right="1400" w:hanging="2596"/>
        <w:spacing w:after="0" w:line="290" w:lineRule="auto"/>
        <w:tabs>
          <w:tab w:leader="none" w:pos="161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March 31, 2025</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3" w:lineRule="exact"/>
        <w:rPr>
          <w:sz w:val="24"/>
          <w:szCs w:val="24"/>
          <w:color w:val="auto"/>
        </w:rPr>
      </w:pPr>
    </w:p>
    <w:p>
      <w:pPr>
        <w:jc w:val="center"/>
        <w:ind w:left="4040" w:right="1400" w:hanging="2640"/>
        <w:spacing w:after="0" w:line="294" w:lineRule="auto"/>
        <w:tabs>
          <w:tab w:leader="none" w:pos="1599"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_____ to _____</w:t>
      </w:r>
    </w:p>
    <w:p>
      <w:pPr>
        <w:spacing w:after="0" w:line="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 xml:space="preserve">Commission File Number: </w:t>
      </w:r>
      <w:r>
        <w:rPr>
          <w:rFonts w:ascii="Times New Roman" w:cs="Times New Roman" w:eastAsia="Times New Roman" w:hAnsi="Times New Roman"/>
          <w:sz w:val="17"/>
          <w:szCs w:val="17"/>
          <w:b w:val="1"/>
          <w:bCs w:val="1"/>
          <w:color w:val="auto"/>
        </w:rPr>
        <w:t>1-39093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130175</wp:posOffset>
            </wp:positionV>
            <wp:extent cx="1362710"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62710" cy="659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BellRing Brands, Inc.</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3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1540" w:type="dxa"/>
            <w:vAlign w:val="bottom"/>
          </w:tcPr>
          <w:p>
            <w:pPr>
              <w:spacing w:after="0"/>
              <w:rPr>
                <w:sz w:val="20"/>
                <w:szCs w:val="20"/>
                <w:color w:val="auto"/>
              </w:rPr>
            </w:pPr>
          </w:p>
        </w:tc>
        <w:tc>
          <w:tcPr>
            <w:tcW w:w="2280" w:type="dxa"/>
            <w:vAlign w:val="bottom"/>
            <w:gridSpan w:val="2"/>
          </w:tcPr>
          <w:p>
            <w:pPr>
              <w:jc w:val="center"/>
              <w:ind w:left="275"/>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60" w:type="dxa"/>
            <w:vAlign w:val="bottom"/>
            <w:gridSpan w:val="2"/>
          </w:tcPr>
          <w:p>
            <w:pPr>
              <w:jc w:val="right"/>
              <w:ind w:right="1659"/>
              <w:spacing w:after="0"/>
              <w:rPr>
                <w:sz w:val="20"/>
                <w:szCs w:val="20"/>
                <w:color w:val="auto"/>
              </w:rPr>
            </w:pPr>
            <w:r>
              <w:rPr>
                <w:rFonts w:ascii="Times New Roman" w:cs="Times New Roman" w:eastAsia="Times New Roman" w:hAnsi="Times New Roman"/>
                <w:sz w:val="18"/>
                <w:szCs w:val="18"/>
                <w:b w:val="1"/>
                <w:bCs w:val="1"/>
                <w:color w:val="auto"/>
              </w:rPr>
              <w:t>87-3296749</w:t>
            </w:r>
          </w:p>
        </w:tc>
      </w:tr>
      <w:tr>
        <w:trPr>
          <w:trHeight w:val="210"/>
        </w:trPr>
        <w:tc>
          <w:tcPr>
            <w:tcW w:w="6900" w:type="dxa"/>
            <w:vAlign w:val="bottom"/>
            <w:gridSpan w:val="6"/>
          </w:tcPr>
          <w:p>
            <w:pPr>
              <w:jc w:val="center"/>
              <w:ind w:right="1180"/>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3660" w:type="dxa"/>
            <w:vAlign w:val="bottom"/>
            <w:gridSpan w:val="2"/>
          </w:tcPr>
          <w:p>
            <w:pPr>
              <w:jc w:val="center"/>
              <w:ind w:right="61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240"/>
        </w:trPr>
        <w:tc>
          <w:tcPr>
            <w:tcW w:w="15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80" w:type="dxa"/>
            <w:vAlign w:val="bottom"/>
            <w:gridSpan w:val="3"/>
          </w:tcPr>
          <w:p>
            <w:pPr>
              <w:jc w:val="center"/>
              <w:ind w:left="434"/>
              <w:spacing w:after="0"/>
              <w:rPr>
                <w:sz w:val="20"/>
                <w:szCs w:val="20"/>
                <w:color w:val="auto"/>
              </w:rPr>
            </w:pPr>
            <w:r>
              <w:rPr>
                <w:rFonts w:ascii="Times New Roman" w:cs="Times New Roman" w:eastAsia="Times New Roman" w:hAnsi="Times New Roman"/>
                <w:sz w:val="18"/>
                <w:szCs w:val="18"/>
                <w:b w:val="1"/>
                <w:bCs w:val="1"/>
                <w:color w:val="auto"/>
                <w:w w:val="99"/>
              </w:rPr>
              <w:t>2503 S. Hanley Road</w:t>
            </w:r>
          </w:p>
        </w:tc>
        <w:tc>
          <w:tcPr>
            <w:tcW w:w="780" w:type="dxa"/>
            <w:vAlign w:val="bottom"/>
          </w:tcPr>
          <w:p>
            <w:pPr>
              <w:spacing w:after="0"/>
              <w:rPr>
                <w:sz w:val="20"/>
                <w:szCs w:val="20"/>
                <w:color w:val="auto"/>
              </w:rPr>
            </w:pPr>
          </w:p>
        </w:tc>
        <w:tc>
          <w:tcPr>
            <w:tcW w:w="2880" w:type="dxa"/>
            <w:vAlign w:val="bottom"/>
          </w:tcPr>
          <w:p>
            <w:pPr>
              <w:spacing w:after="0"/>
              <w:rPr>
                <w:sz w:val="20"/>
                <w:szCs w:val="20"/>
                <w:color w:val="auto"/>
              </w:rPr>
            </w:pPr>
          </w:p>
        </w:tc>
      </w:tr>
      <w:tr>
        <w:trPr>
          <w:trHeight w:val="197"/>
        </w:trPr>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80" w:type="dxa"/>
            <w:vAlign w:val="bottom"/>
            <w:gridSpan w:val="3"/>
          </w:tcPr>
          <w:p>
            <w:pPr>
              <w:jc w:val="center"/>
              <w:ind w:left="454"/>
              <w:spacing w:after="0" w:line="198" w:lineRule="exact"/>
              <w:rPr>
                <w:sz w:val="20"/>
                <w:szCs w:val="20"/>
                <w:color w:val="auto"/>
              </w:rPr>
            </w:pPr>
            <w:r>
              <w:rPr>
                <w:rFonts w:ascii="Times New Roman" w:cs="Times New Roman" w:eastAsia="Times New Roman" w:hAnsi="Times New Roman"/>
                <w:sz w:val="18"/>
                <w:szCs w:val="18"/>
                <w:b w:val="1"/>
                <w:bCs w:val="1"/>
                <w:color w:val="auto"/>
                <w:w w:val="99"/>
              </w:rPr>
              <w:t>St. Louis, Missouri 63144</w:t>
            </w:r>
          </w:p>
        </w:tc>
        <w:tc>
          <w:tcPr>
            <w:tcW w:w="78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210"/>
        </w:trPr>
        <w:tc>
          <w:tcPr>
            <w:tcW w:w="1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740" w:type="dxa"/>
            <w:vAlign w:val="bottom"/>
            <w:gridSpan w:val="5"/>
          </w:tcPr>
          <w:p>
            <w:pPr>
              <w:jc w:val="center"/>
              <w:ind w:right="3059"/>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tc>
      </w:tr>
      <w:tr>
        <w:trPr>
          <w:trHeight w:val="303"/>
        </w:trPr>
        <w:tc>
          <w:tcPr>
            <w:tcW w:w="1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0" w:type="dxa"/>
            <w:vAlign w:val="bottom"/>
            <w:gridSpan w:val="2"/>
          </w:tcPr>
          <w:p>
            <w:pPr>
              <w:jc w:val="center"/>
              <w:ind w:left="1114"/>
              <w:spacing w:after="0"/>
              <w:rPr>
                <w:sz w:val="20"/>
                <w:szCs w:val="20"/>
                <w:color w:val="auto"/>
              </w:rPr>
            </w:pPr>
            <w:r>
              <w:rPr>
                <w:rFonts w:ascii="Times New Roman" w:cs="Times New Roman" w:eastAsia="Times New Roman" w:hAnsi="Times New Roman"/>
                <w:sz w:val="18"/>
                <w:szCs w:val="18"/>
                <w:b w:val="1"/>
                <w:bCs w:val="1"/>
                <w:color w:val="auto"/>
                <w:w w:val="99"/>
              </w:rPr>
              <w:t>(314) 644-7600</w:t>
            </w: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10"/>
        </w:trPr>
        <w:tc>
          <w:tcPr>
            <w:tcW w:w="1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740" w:type="dxa"/>
            <w:vAlign w:val="bottom"/>
            <w:gridSpan w:val="5"/>
          </w:tcPr>
          <w:p>
            <w:pPr>
              <w:jc w:val="center"/>
              <w:ind w:right="305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r>
      <w:tr>
        <w:trPr>
          <w:trHeight w:val="310"/>
        </w:trPr>
        <w:tc>
          <w:tcPr>
            <w:tcW w:w="38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195"/>
        </w:trPr>
        <w:tc>
          <w:tcPr>
            <w:tcW w:w="1540" w:type="dxa"/>
            <w:vAlign w:val="bottom"/>
          </w:tcPr>
          <w:p>
            <w:pPr>
              <w:spacing w:after="0"/>
              <w:rPr>
                <w:sz w:val="16"/>
                <w:szCs w:val="16"/>
                <w:color w:val="auto"/>
              </w:rPr>
            </w:pPr>
          </w:p>
        </w:tc>
        <w:tc>
          <w:tcPr>
            <w:tcW w:w="2280" w:type="dxa"/>
            <w:vAlign w:val="bottom"/>
            <w:gridSpan w:val="2"/>
          </w:tcPr>
          <w:p>
            <w:pPr>
              <w:jc w:val="center"/>
              <w:ind w:right="1120"/>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1180" w:type="dxa"/>
            <w:vAlign w:val="bottom"/>
          </w:tcPr>
          <w:p>
            <w:pPr>
              <w:spacing w:after="0"/>
              <w:rPr>
                <w:sz w:val="16"/>
                <w:szCs w:val="16"/>
                <w:color w:val="auto"/>
              </w:rPr>
            </w:pPr>
          </w:p>
        </w:tc>
        <w:tc>
          <w:tcPr>
            <w:tcW w:w="1900" w:type="dxa"/>
            <w:vAlign w:val="bottom"/>
            <w:gridSpan w:val="2"/>
          </w:tcPr>
          <w:p>
            <w:pPr>
              <w:jc w:val="center"/>
              <w:ind w:right="680"/>
              <w:spacing w:after="0"/>
              <w:rPr>
                <w:sz w:val="20"/>
                <w:szCs w:val="20"/>
                <w:color w:val="auto"/>
              </w:rPr>
            </w:pPr>
            <w:r>
              <w:rPr>
                <w:rFonts w:ascii="Times New Roman" w:cs="Times New Roman" w:eastAsia="Times New Roman" w:hAnsi="Times New Roman"/>
                <w:sz w:val="16"/>
                <w:szCs w:val="16"/>
                <w:color w:val="auto"/>
              </w:rPr>
              <w:t>Trading Symbol(s)</w:t>
            </w:r>
          </w:p>
        </w:tc>
        <w:tc>
          <w:tcPr>
            <w:tcW w:w="780" w:type="dxa"/>
            <w:vAlign w:val="bottom"/>
          </w:tcPr>
          <w:p>
            <w:pPr>
              <w:spacing w:after="0"/>
              <w:rPr>
                <w:sz w:val="16"/>
                <w:szCs w:val="16"/>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
        </w:trPr>
        <w:tc>
          <w:tcPr>
            <w:tcW w:w="15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r>
      <w:tr>
        <w:trPr>
          <w:trHeight w:val="230"/>
        </w:trPr>
        <w:tc>
          <w:tcPr>
            <w:tcW w:w="3820" w:type="dxa"/>
            <w:vAlign w:val="bottom"/>
            <w:gridSpan w:val="3"/>
          </w:tcPr>
          <w:p>
            <w:pPr>
              <w:jc w:val="center"/>
              <w:ind w:left="339"/>
              <w:spacing w:after="0"/>
              <w:rPr>
                <w:sz w:val="20"/>
                <w:szCs w:val="20"/>
                <w:color w:val="auto"/>
              </w:rPr>
            </w:pPr>
            <w:r>
              <w:rPr>
                <w:rFonts w:ascii="Times New Roman" w:cs="Times New Roman" w:eastAsia="Times New Roman" w:hAnsi="Times New Roman"/>
                <w:sz w:val="16"/>
                <w:szCs w:val="16"/>
                <w:b w:val="1"/>
                <w:bCs w:val="1"/>
                <w:color w:val="auto"/>
              </w:rPr>
              <w:t>Common Stock, $0.01 par value per share</w:t>
            </w:r>
          </w:p>
        </w:tc>
        <w:tc>
          <w:tcPr>
            <w:tcW w:w="1180" w:type="dxa"/>
            <w:vAlign w:val="bottom"/>
          </w:tcPr>
          <w:p>
            <w:pPr>
              <w:spacing w:after="0"/>
              <w:rPr>
                <w:sz w:val="20"/>
                <w:szCs w:val="20"/>
                <w:color w:val="auto"/>
              </w:rPr>
            </w:pPr>
          </w:p>
        </w:tc>
        <w:tc>
          <w:tcPr>
            <w:tcW w:w="1900" w:type="dxa"/>
            <w:vAlign w:val="bottom"/>
            <w:gridSpan w:val="2"/>
          </w:tcPr>
          <w:p>
            <w:pPr>
              <w:jc w:val="center"/>
              <w:ind w:right="660"/>
              <w:spacing w:after="0"/>
              <w:rPr>
                <w:sz w:val="20"/>
                <w:szCs w:val="20"/>
                <w:color w:val="auto"/>
              </w:rPr>
            </w:pPr>
            <w:r>
              <w:rPr>
                <w:rFonts w:ascii="Times New Roman" w:cs="Times New Roman" w:eastAsia="Times New Roman" w:hAnsi="Times New Roman"/>
                <w:sz w:val="16"/>
                <w:szCs w:val="16"/>
                <w:b w:val="1"/>
                <w:bCs w:val="1"/>
                <w:color w:val="auto"/>
                <w:w w:val="98"/>
              </w:rPr>
              <w:t>BRBR</w:t>
            </w:r>
          </w:p>
        </w:tc>
        <w:tc>
          <w:tcPr>
            <w:tcW w:w="780" w:type="dxa"/>
            <w:vAlign w:val="bottom"/>
          </w:tcPr>
          <w:p>
            <w:pPr>
              <w:spacing w:after="0"/>
              <w:rPr>
                <w:sz w:val="20"/>
                <w:szCs w:val="20"/>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New York Stock Exchange</w:t>
            </w:r>
          </w:p>
        </w:tc>
      </w:tr>
    </w:tbl>
    <w:p>
      <w:pPr>
        <w:spacing w:after="0" w:line="195" w:lineRule="exact"/>
        <w:rPr>
          <w:sz w:val="24"/>
          <w:szCs w:val="24"/>
          <w:color w:val="auto"/>
        </w:rPr>
      </w:pPr>
    </w:p>
    <w:p>
      <w:pPr>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3" w:lineRule="exact"/>
        <w:rPr>
          <w:sz w:val="24"/>
          <w:szCs w:val="24"/>
          <w:color w:val="auto"/>
        </w:rPr>
      </w:pPr>
    </w:p>
    <w:p>
      <w:pPr>
        <w:ind w:right="40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right="12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w:t>
      </w:r>
    </w:p>
    <w:p>
      <w:pPr>
        <w:spacing w:after="0" w:line="75" w:lineRule="exact"/>
        <w:rPr>
          <w:sz w:val="24"/>
          <w:szCs w:val="24"/>
          <w:color w:val="auto"/>
        </w:rPr>
      </w:pPr>
    </w:p>
    <w:tbl>
      <w:tblPr>
        <w:tblLayout w:type="fixed"/>
        <w:tblInd w:w="300" w:type="dxa"/>
        <w:tblCellMar>
          <w:top w:w="0" w:type="dxa"/>
          <w:left w:w="0" w:type="dxa"/>
          <w:bottom w:w="0" w:type="dxa"/>
          <w:right w:w="0" w:type="dxa"/>
        </w:tblCellMar>
      </w:tblPr>
      <w:tr>
        <w:trPr>
          <w:trHeight w:val="272"/>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700" w:type="dxa"/>
            <w:vAlign w:val="bottom"/>
          </w:tcPr>
          <w:p>
            <w:pPr>
              <w:ind w:left="980"/>
              <w:spacing w:after="0" w:line="161" w:lineRule="exact"/>
              <w:rPr>
                <w:sz w:val="20"/>
                <w:szCs w:val="20"/>
                <w:color w:val="auto"/>
              </w:rPr>
            </w:pPr>
            <w:r>
              <w:rPr>
                <w:rFonts w:ascii="MS PGothic" w:cs="MS PGothic" w:eastAsia="MS PGothic" w:hAnsi="MS PGothic"/>
                <w:sz w:val="16"/>
                <w:szCs w:val="16"/>
                <w:color w:val="auto"/>
              </w:rPr>
              <w:t>☒</w:t>
            </w:r>
          </w:p>
        </w:tc>
        <w:tc>
          <w:tcPr>
            <w:tcW w:w="318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Accelerated filer</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32"/>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700" w:type="dxa"/>
            <w:vAlign w:val="bottom"/>
          </w:tcPr>
          <w:p>
            <w:pPr>
              <w:ind w:left="980"/>
              <w:spacing w:after="0" w:line="161" w:lineRule="exact"/>
              <w:rPr>
                <w:sz w:val="20"/>
                <w:szCs w:val="20"/>
                <w:color w:val="auto"/>
              </w:rPr>
            </w:pPr>
            <w:r>
              <w:rPr>
                <w:rFonts w:ascii="MS PGothic" w:cs="MS PGothic" w:eastAsia="MS PGothic" w:hAnsi="MS PGothic"/>
                <w:sz w:val="16"/>
                <w:szCs w:val="16"/>
                <w:color w:val="auto"/>
              </w:rPr>
              <w:t>☐</w:t>
            </w:r>
          </w:p>
        </w:tc>
        <w:tc>
          <w:tcPr>
            <w:tcW w:w="318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16"/>
        </w:trPr>
        <w:tc>
          <w:tcPr>
            <w:tcW w:w="24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18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Emerging growth company</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rPr>
          <w:sz w:val="20"/>
          <w:szCs w:val="20"/>
          <w:color w:val="auto"/>
        </w:rPr>
      </w:pPr>
      <w:r>
        <w:rPr>
          <w:rFonts w:ascii="Times New Roman" w:cs="Times New Roman" w:eastAsia="Times New Roman" w:hAnsi="Times New Roman"/>
          <w:sz w:val="16"/>
          <w:szCs w:val="16"/>
          <w:color w:val="auto"/>
        </w:rPr>
        <w:t>Act.</w:t>
      </w:r>
    </w:p>
    <w:p>
      <w:pPr>
        <w:spacing w:after="0" w:line="8" w:lineRule="exact"/>
        <w:rPr>
          <w:sz w:val="24"/>
          <w:szCs w:val="24"/>
          <w:color w:val="auto"/>
        </w:rPr>
      </w:pPr>
    </w:p>
    <w:p>
      <w:pPr>
        <w:ind w:right="580"/>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5"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6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the number of shares outstanding of each of the issuer’s classes of common stock, as of the latest practicable date:</w:t>
      </w: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Common Stock, $0.01 par value per share – 126,996,712 shares as of April 29,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659130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5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916"/>
        </w:trPr>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0" w:type="dxa"/>
            <w:vAlign w:val="bottom"/>
            <w:gridSpan w:val="9"/>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9"/>
              </w:rPr>
              <w:t>BELLRING BRANDS, INC.</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0" w:type="dxa"/>
            <w:vAlign w:val="bottom"/>
            <w:gridSpan w:val="9"/>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8"/>
              </w:rPr>
              <w:t>QUARTERLY REPORT ON FORM 10-Q</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0" w:type="dxa"/>
            <w:vAlign w:val="bottom"/>
            <w:gridSpan w:val="9"/>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48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Page</w:t>
            </w:r>
          </w:p>
        </w:tc>
      </w:tr>
      <w:tr>
        <w:trPr>
          <w:trHeight w:val="189"/>
        </w:trPr>
        <w:tc>
          <w:tcPr>
            <w:tcW w:w="20" w:type="dxa"/>
            <w:vAlign w:val="bottom"/>
          </w:tcPr>
          <w:p>
            <w:pPr>
              <w:spacing w:after="0"/>
              <w:rPr>
                <w:sz w:val="16"/>
                <w:szCs w:val="16"/>
                <w:color w:val="auto"/>
              </w:rPr>
            </w:pPr>
          </w:p>
        </w:tc>
        <w:tc>
          <w:tcPr>
            <w:tcW w:w="1500" w:type="dxa"/>
            <w:vAlign w:val="bottom"/>
            <w:tcBorders>
              <w:top w:val="single" w:sz="8" w:color="CCEEFF"/>
            </w:tcBorders>
            <w:gridSpan w:val="2"/>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PART I.</w:t>
            </w:r>
          </w:p>
        </w:tc>
        <w:tc>
          <w:tcPr>
            <w:tcW w:w="9220" w:type="dxa"/>
            <w:vAlign w:val="bottom"/>
            <w:tcBorders>
              <w:top w:val="single" w:sz="8" w:color="CCEEFF"/>
            </w:tcBorders>
            <w:gridSpan w:val="18"/>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2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Operations (Unaudited)</w:t>
            </w:r>
          </w:p>
        </w:tc>
        <w:tc>
          <w:tcPr>
            <w:tcW w:w="2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Comprehensive Income (Unaudited)</w:t>
            </w:r>
          </w:p>
        </w:tc>
        <w:tc>
          <w:tcPr>
            <w:tcW w:w="2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Balance Sheets (Unaudited)</w:t>
            </w:r>
          </w:p>
        </w:tc>
        <w:tc>
          <w:tcPr>
            <w:tcW w:w="2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2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Stockholders’ Deficit (Unaudited)</w:t>
            </w:r>
          </w:p>
        </w:tc>
        <w:tc>
          <w:tcPr>
            <w:tcW w:w="2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2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14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18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19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PART II.</w:t>
            </w: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OTHER INFORMATION</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20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1A.</w:t>
            </w: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20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20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5.</w:t>
            </w: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20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6.</w:t>
            </w: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21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22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PART I.</w:t>
      </w:r>
      <w:r>
        <w:rPr>
          <w:sz w:val="20"/>
          <w:szCs w:val="20"/>
          <w:color w:val="auto"/>
        </w:rPr>
        <w:tab/>
      </w:r>
      <w:r>
        <w:rPr>
          <w:rFonts w:ascii="Times New Roman" w:cs="Times New Roman" w:eastAsia="Times New Roman" w:hAnsi="Times New Roman"/>
          <w:sz w:val="17"/>
          <w:szCs w:val="17"/>
          <w:b w:val="1"/>
          <w:bCs w:val="1"/>
          <w:color w:val="auto"/>
        </w:rPr>
        <w:t>FINANCIAL INFORMATION.</w:t>
      </w:r>
    </w:p>
    <w:p>
      <w:pPr>
        <w:spacing w:after="0" w:line="11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 (UNAUDITED).</w:t>
      </w:r>
    </w:p>
    <w:p>
      <w:pPr>
        <w:spacing w:after="0" w:line="27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257" w:lineRule="exact"/>
        <w:rPr>
          <w:sz w:val="20"/>
          <w:szCs w:val="20"/>
          <w:color w:val="auto"/>
        </w:rPr>
      </w:pPr>
    </w:p>
    <w:tbl>
      <w:tblPr>
        <w:tblLayout w:type="fixed"/>
        <w:tblInd w:w="260" w:type="dxa"/>
        <w:tblCellMar>
          <w:top w:w="0" w:type="dxa"/>
          <w:left w:w="0" w:type="dxa"/>
          <w:bottom w:w="0" w:type="dxa"/>
          <w:right w:w="0" w:type="dxa"/>
        </w:tblCellMar>
      </w:tblPr>
      <w:tr>
        <w:trPr>
          <w:trHeight w:val="184"/>
        </w:trPr>
        <w:tc>
          <w:tcPr>
            <w:tcW w:w="5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4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6"/>
                <w:szCs w:val="16"/>
                <w:color w:val="auto"/>
              </w:rPr>
            </w:pPr>
          </w:p>
        </w:tc>
        <w:tc>
          <w:tcPr>
            <w:tcW w:w="2100" w:type="dxa"/>
            <w:vAlign w:val="bottom"/>
            <w:gridSpan w:val="4"/>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57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60" w:type="dxa"/>
            <w:vAlign w:val="bottom"/>
            <w:tcBorders>
              <w:bottom w:val="single" w:sz="8" w:color="auto"/>
            </w:tcBorders>
          </w:tcPr>
          <w:p>
            <w:pPr>
              <w:spacing w:after="0"/>
              <w:rPr>
                <w:sz w:val="18"/>
                <w:szCs w:val="18"/>
                <w:color w:val="auto"/>
              </w:rPr>
            </w:pPr>
          </w:p>
        </w:tc>
      </w:tr>
      <w:tr>
        <w:trPr>
          <w:trHeight w:val="209"/>
        </w:trPr>
        <w:tc>
          <w:tcPr>
            <w:tcW w:w="57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588.0</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1,120.9</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925.0</w:t>
            </w:r>
          </w:p>
        </w:tc>
      </w:tr>
      <w:tr>
        <w:trPr>
          <w:trHeight w:val="229"/>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398.2</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330.3</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731.5</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612.7</w:t>
            </w:r>
          </w:p>
        </w:tc>
      </w:tr>
      <w:tr>
        <w:trPr>
          <w:trHeight w:val="223"/>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389.4</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312.3</w:t>
            </w:r>
          </w:p>
        </w:tc>
      </w:tr>
      <w:tr>
        <w:trPr>
          <w:trHeight w:val="22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w:t>
            </w:r>
          </w:p>
        </w:tc>
      </w:tr>
      <w:tr>
        <w:trPr>
          <w:trHeight w:val="23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23"/>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w:t>
            </w:r>
          </w:p>
        </w:tc>
      </w:tr>
      <w:tr>
        <w:trPr>
          <w:trHeight w:val="23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r>
      <w:tr>
        <w:trPr>
          <w:trHeight w:val="223"/>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Income Taxes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w:t>
            </w:r>
          </w:p>
        </w:tc>
      </w:tr>
      <w:tr>
        <w:trPr>
          <w:trHeight w:val="23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196"/>
        </w:trPr>
        <w:tc>
          <w:tcPr>
            <w:tcW w:w="5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Net Earnings</w:t>
            </w:r>
          </w:p>
        </w:tc>
        <w:tc>
          <w:tcPr>
            <w:tcW w:w="26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58.7</w:t>
            </w:r>
          </w:p>
        </w:tc>
        <w:tc>
          <w:tcPr>
            <w:tcW w:w="14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57.2</w:t>
            </w:r>
          </w:p>
        </w:tc>
        <w:tc>
          <w:tcPr>
            <w:tcW w:w="24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135.6</w:t>
            </w:r>
          </w:p>
        </w:tc>
        <w:tc>
          <w:tcPr>
            <w:tcW w:w="14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101.1</w:t>
            </w: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37"/>
        </w:trPr>
        <w:tc>
          <w:tcPr>
            <w:tcW w:w="57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r>
      <w:tr>
        <w:trPr>
          <w:trHeight w:val="22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Common Share:</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w:t>
            </w:r>
          </w:p>
        </w:tc>
      </w:tr>
      <w:tr>
        <w:trPr>
          <w:trHeight w:val="22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4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2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0.76</w:t>
            </w:r>
          </w:p>
        </w:tc>
      </w:tr>
      <w:tr>
        <w:trPr>
          <w:trHeight w:val="270"/>
        </w:trPr>
        <w:tc>
          <w:tcPr>
            <w:tcW w:w="57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r>
      <w:tr>
        <w:trPr>
          <w:trHeight w:val="23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Common Shares Outstanding:</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w:t>
            </w:r>
          </w:p>
        </w:tc>
      </w:tr>
      <w:tr>
        <w:trPr>
          <w:trHeight w:val="234"/>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w:t>
            </w:r>
          </w:p>
        </w:tc>
      </w:tr>
    </w:tbl>
    <w:p>
      <w:pPr>
        <w:spacing w:after="0" w:line="287"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21" w:right="5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(Unaudited)</w:t>
      </w:r>
    </w:p>
    <w:p>
      <w:pPr>
        <w:spacing w:after="0" w:line="9"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57" w:lineRule="exact"/>
        <w:rPr>
          <w:sz w:val="20"/>
          <w:szCs w:val="20"/>
          <w:color w:val="auto"/>
        </w:rPr>
      </w:pPr>
    </w:p>
    <w:tbl>
      <w:tblPr>
        <w:tblLayout w:type="fixed"/>
        <w:tblInd w:w="500" w:type="dxa"/>
        <w:tblCellMar>
          <w:top w:w="0" w:type="dxa"/>
          <w:left w:w="0" w:type="dxa"/>
          <w:bottom w:w="0" w:type="dxa"/>
          <w:right w:w="0" w:type="dxa"/>
        </w:tblCellMar>
      </w:tblPr>
      <w:tr>
        <w:trPr>
          <w:trHeight w:val="184"/>
        </w:trPr>
        <w:tc>
          <w:tcPr>
            <w:tcW w:w="5280" w:type="dxa"/>
            <w:vAlign w:val="bottom"/>
          </w:tcPr>
          <w:p>
            <w:pPr>
              <w:spacing w:after="0"/>
              <w:rPr>
                <w:sz w:val="16"/>
                <w:szCs w:val="16"/>
                <w:color w:val="auto"/>
              </w:rPr>
            </w:pPr>
          </w:p>
        </w:tc>
        <w:tc>
          <w:tcPr>
            <w:tcW w:w="196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4"/>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528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4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00" w:type="dxa"/>
            <w:vAlign w:val="bottom"/>
            <w:tcBorders>
              <w:bottom w:val="single" w:sz="8" w:color="auto"/>
            </w:tcBorders>
          </w:tcPr>
          <w:p>
            <w:pPr>
              <w:spacing w:after="0"/>
              <w:rPr>
                <w:sz w:val="18"/>
                <w:szCs w:val="18"/>
                <w:color w:val="auto"/>
              </w:rPr>
            </w:pPr>
          </w:p>
        </w:tc>
      </w:tr>
      <w:tr>
        <w:trPr>
          <w:trHeight w:val="209"/>
        </w:trPr>
        <w:tc>
          <w:tcPr>
            <w:tcW w:w="52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720" w:type="dxa"/>
            <w:vAlign w:val="bottom"/>
            <w:shd w:val="clear" w:color="auto" w:fill="CCEEFF"/>
          </w:tcPr>
          <w:p>
            <w:pPr>
              <w:jc w:val="right"/>
              <w:ind w:right="53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58.7</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57.2</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r>
      <w:tr>
        <w:trPr>
          <w:trHeight w:val="229"/>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Unrealized foreign currency translation adjustments</w:t>
            </w:r>
          </w:p>
        </w:tc>
        <w:tc>
          <w:tcPr>
            <w:tcW w:w="7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7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7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59.4</w:t>
            </w:r>
          </w:p>
        </w:tc>
        <w:tc>
          <w:tcPr>
            <w:tcW w:w="120" w:type="dxa"/>
            <w:vAlign w:val="bottom"/>
          </w:tcPr>
          <w:p>
            <w:pPr>
              <w:spacing w:after="0"/>
              <w:rPr>
                <w:sz w:val="19"/>
                <w:szCs w:val="19"/>
                <w:color w:val="auto"/>
              </w:rPr>
            </w:pPr>
          </w:p>
        </w:tc>
        <w:tc>
          <w:tcPr>
            <w:tcW w:w="7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56.8</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w:t>
            </w:r>
          </w:p>
        </w:tc>
      </w:tr>
      <w:tr>
        <w:trPr>
          <w:trHeight w:val="21"/>
        </w:trPr>
        <w:tc>
          <w:tcPr>
            <w:tcW w:w="5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121" w:right="8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80" w:type="dxa"/>
            <w:vAlign w:val="bottom"/>
          </w:tcPr>
          <w:p>
            <w:pPr>
              <w:spacing w:after="0"/>
              <w:rPr>
                <w:sz w:val="16"/>
                <w:szCs w:val="16"/>
                <w:color w:val="auto"/>
              </w:rPr>
            </w:pP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4"/>
        </w:trPr>
        <w:tc>
          <w:tcPr>
            <w:tcW w:w="8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8240" w:type="dxa"/>
            <w:vAlign w:val="bottom"/>
            <w:shd w:val="clear" w:color="auto" w:fill="CCEEFF"/>
          </w:tcPr>
          <w:p>
            <w:pPr>
              <w:ind w:left="52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r>
      <w:tr>
        <w:trPr>
          <w:trHeight w:val="230"/>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Receivables, net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w:t>
            </w:r>
          </w:p>
        </w:tc>
      </w:tr>
      <w:tr>
        <w:trPr>
          <w:trHeight w:val="229"/>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286.1</w:t>
            </w:r>
          </w:p>
        </w:tc>
      </w:tr>
      <w:tr>
        <w:trPr>
          <w:trHeight w:val="230"/>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23"/>
        </w:trPr>
        <w:tc>
          <w:tcPr>
            <w:tcW w:w="824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592.7</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net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23"/>
        </w:trPr>
        <w:tc>
          <w:tcPr>
            <w:tcW w:w="824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947.5</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837.0</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8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29"/>
        </w:trPr>
        <w:tc>
          <w:tcPr>
            <w:tcW w:w="8240" w:type="dxa"/>
            <w:vAlign w:val="bottom"/>
          </w:tcPr>
          <w:p>
            <w:pPr>
              <w:ind w:left="364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w:t>
            </w:r>
          </w:p>
        </w:tc>
      </w:tr>
      <w:tr>
        <w:trPr>
          <w:trHeight w:val="230"/>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r>
      <w:tr>
        <w:trPr>
          <w:trHeight w:val="223"/>
        </w:trPr>
        <w:tc>
          <w:tcPr>
            <w:tcW w:w="824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833.1</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3"/>
        </w:trPr>
        <w:tc>
          <w:tcPr>
            <w:tcW w:w="824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1,042.9</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230"/>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r>
      <w:tr>
        <w:trPr>
          <w:trHeight w:val="230"/>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8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Treasury stock, at cost</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(299.0)</w:t>
            </w:r>
          </w:p>
        </w:tc>
      </w:tr>
      <w:tr>
        <w:trPr>
          <w:trHeight w:val="223"/>
        </w:trPr>
        <w:tc>
          <w:tcPr>
            <w:tcW w:w="82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w:t>
            </w:r>
          </w:p>
        </w:tc>
      </w:tr>
      <w:tr>
        <w:trPr>
          <w:trHeight w:val="223"/>
        </w:trPr>
        <w:tc>
          <w:tcPr>
            <w:tcW w:w="824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947.5</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837.0</w:t>
            </w:r>
          </w:p>
        </w:tc>
      </w:tr>
      <w:tr>
        <w:trPr>
          <w:trHeight w:val="20"/>
        </w:trPr>
        <w:tc>
          <w:tcPr>
            <w:tcW w:w="8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75" w:lineRule="exact"/>
        <w:rPr>
          <w:sz w:val="20"/>
          <w:szCs w:val="20"/>
          <w:color w:val="auto"/>
        </w:rPr>
      </w:pPr>
    </w:p>
    <w:p>
      <w:pPr>
        <w:jc w:val="center"/>
        <w:ind w:left="8220"/>
        <w:spacing w:after="0"/>
        <w:rPr>
          <w:sz w:val="20"/>
          <w:szCs w:val="20"/>
          <w:color w:val="auto"/>
        </w:rPr>
      </w:pPr>
      <w:r>
        <w:rPr>
          <w:rFonts w:ascii="Times New Roman" w:cs="Times New Roman" w:eastAsia="Times New Roman" w:hAnsi="Times New Roman"/>
          <w:sz w:val="16"/>
          <w:szCs w:val="16"/>
          <w:b w:val="1"/>
          <w:bCs w:val="1"/>
          <w:color w:val="auto"/>
        </w:rPr>
        <w:t>Six Months Ended</w:t>
      </w:r>
    </w:p>
    <w:p>
      <w:pPr>
        <w:jc w:val="center"/>
        <w:ind w:left="822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24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880" w:type="dxa"/>
            <w:vAlign w:val="bottom"/>
          </w:tcPr>
          <w:p>
            <w:pPr>
              <w:jc w:val="right"/>
              <w:ind w:right="67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2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stock-based compensation expense</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changes in operating assets and liabilities:</w:t>
            </w: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 in receivables, net</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(Increase) decrease in inventories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Decrease in prepaid expenses and other current assets</w:t>
            </w:r>
          </w:p>
        </w:tc>
        <w:tc>
          <w:tcPr>
            <w:tcW w:w="8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Decrease (increase) in other assets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 in accounts payable and other current liabilities</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23"/>
        </w:trPr>
        <w:tc>
          <w:tcPr>
            <w:tcW w:w="82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w:t>
            </w:r>
          </w:p>
        </w:tc>
      </w:tr>
      <w:tr>
        <w:trPr>
          <w:trHeight w:val="250"/>
        </w:trPr>
        <w:tc>
          <w:tcPr>
            <w:tcW w:w="8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to property</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3"/>
        </w:trPr>
        <w:tc>
          <w:tcPr>
            <w:tcW w:w="824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50"/>
        </w:trPr>
        <w:tc>
          <w:tcPr>
            <w:tcW w:w="8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(110.0)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(184.9)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 withholding payments related to stock compensation plans</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3"/>
        </w:trPr>
        <w:tc>
          <w:tcPr>
            <w:tcW w:w="82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r>
      <w:tr>
        <w:trPr>
          <w:trHeight w:val="22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(Decrease) Increase in Cash, Cash Equivalents and Restricted Cash</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Year</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880" w:type="dxa"/>
            <w:vAlign w:val="bottom"/>
            <w:tcBorders>
              <w:bottom w:val="single" w:sz="8" w:color="auto"/>
            </w:tcBorders>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DEFICIT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r>
        <w:rPr>
          <w:rFonts w:ascii="Times New Roman" w:cs="Times New Roman" w:eastAsia="Times New Roman" w:hAnsi="Times New Roman"/>
          <w:sz w:val="18"/>
          <w:szCs w:val="18"/>
          <w:color w:val="auto"/>
        </w:rPr>
        <w: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20" w:type="dxa"/>
            <w:vAlign w:val="bottom"/>
            <w:gridSpan w:val="5"/>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As of and for the</w:t>
            </w:r>
          </w:p>
        </w:tc>
        <w:tc>
          <w:tcPr>
            <w:tcW w:w="260" w:type="dxa"/>
            <w:vAlign w:val="bottom"/>
          </w:tcPr>
          <w:p>
            <w:pPr>
              <w:spacing w:after="0"/>
              <w:rPr>
                <w:sz w:val="16"/>
                <w:szCs w:val="16"/>
                <w:color w:val="auto"/>
              </w:rPr>
            </w:pPr>
          </w:p>
        </w:tc>
        <w:tc>
          <w:tcPr>
            <w:tcW w:w="2080" w:type="dxa"/>
            <w:vAlign w:val="bottom"/>
            <w:gridSpan w:val="4"/>
          </w:tcPr>
          <w:p>
            <w:pPr>
              <w:jc w:val="center"/>
              <w:ind w:right="151"/>
              <w:spacing w:after="0"/>
              <w:rPr>
                <w:sz w:val="20"/>
                <w:szCs w:val="20"/>
                <w:color w:val="auto"/>
              </w:rPr>
            </w:pPr>
            <w:r>
              <w:rPr>
                <w:rFonts w:ascii="Times New Roman" w:cs="Times New Roman" w:eastAsia="Times New Roman" w:hAnsi="Times New Roman"/>
                <w:sz w:val="16"/>
                <w:szCs w:val="16"/>
                <w:b w:val="1"/>
                <w:bCs w:val="1"/>
                <w:color w:val="auto"/>
              </w:rPr>
              <w:t>As of and for the</w:t>
            </w:r>
          </w:p>
        </w:tc>
      </w:tr>
      <w:tr>
        <w:trPr>
          <w:trHeight w:val="162"/>
        </w:trPr>
        <w:tc>
          <w:tcPr>
            <w:tcW w:w="6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20" w:type="dxa"/>
            <w:vAlign w:val="bottom"/>
            <w:gridSpan w:val="5"/>
          </w:tcPr>
          <w:p>
            <w:pPr>
              <w:jc w:val="center"/>
              <w:ind w:right="480"/>
              <w:spacing w:after="0" w:line="162"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260" w:type="dxa"/>
            <w:vAlign w:val="bottom"/>
          </w:tcPr>
          <w:p>
            <w:pPr>
              <w:spacing w:after="0"/>
              <w:rPr>
                <w:sz w:val="14"/>
                <w:szCs w:val="14"/>
                <w:color w:val="auto"/>
              </w:rPr>
            </w:pPr>
          </w:p>
        </w:tc>
        <w:tc>
          <w:tcPr>
            <w:tcW w:w="2080" w:type="dxa"/>
            <w:vAlign w:val="bottom"/>
            <w:gridSpan w:val="4"/>
          </w:tcPr>
          <w:p>
            <w:pPr>
              <w:jc w:val="center"/>
              <w:ind w:right="151"/>
              <w:spacing w:after="0" w:line="162" w:lineRule="exact"/>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6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center"/>
              <w:ind w:left="432"/>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center"/>
              <w:ind w:left="412"/>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760" w:type="dxa"/>
            <w:vAlign w:val="bottom"/>
            <w:tcBorders>
              <w:bottom w:val="single" w:sz="8" w:color="auto"/>
            </w:tcBorders>
          </w:tcPr>
          <w:p>
            <w:pPr>
              <w:spacing w:after="0"/>
              <w:rPr>
                <w:sz w:val="18"/>
                <w:szCs w:val="18"/>
                <w:color w:val="auto"/>
              </w:rPr>
            </w:pPr>
          </w:p>
        </w:tc>
      </w:tr>
      <w:tr>
        <w:trPr>
          <w:trHeight w:val="210"/>
        </w:trPr>
        <w:tc>
          <w:tcPr>
            <w:tcW w:w="63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and end of period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 Paid-in Capital</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30"/>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Activity under stock and deferred compensation plans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6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Non-cash stock-based compensation expense</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Retained Earnings (Accumulated Deficit)</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w:t>
            </w:r>
          </w:p>
        </w:tc>
      </w:tr>
      <w:tr>
        <w:trPr>
          <w:trHeight w:val="230"/>
        </w:trPr>
        <w:tc>
          <w:tcPr>
            <w:tcW w:w="6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earnings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w:t>
            </w:r>
          </w:p>
        </w:tc>
      </w:tr>
      <w:tr>
        <w:trPr>
          <w:trHeight w:val="22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6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w:t>
            </w:r>
          </w:p>
        </w:tc>
      </w:tr>
      <w:tr>
        <w:trPr>
          <w:trHeight w:val="230"/>
        </w:trPr>
        <w:tc>
          <w:tcPr>
            <w:tcW w:w="6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2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2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(482.7)</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w:t>
            </w:r>
          </w:p>
        </w:tc>
      </w:tr>
      <w:tr>
        <w:trPr>
          <w:trHeight w:val="223"/>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(247.7)</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(247.7)</w:t>
            </w:r>
          </w:p>
        </w:tc>
      </w:tr>
      <w:tr>
        <w:trPr>
          <w:trHeight w:val="20"/>
        </w:trPr>
        <w:tc>
          <w:tcPr>
            <w:tcW w:w="6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information and where indicated otherwise)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BACKGROUND AND BASIS OF PRESENTATION</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BellRing Brands, Inc. is a consumer products holding company operating in the global convenient nutrition category and is a provider of ready-to-drink (“RTD”) protein shakes and powders. The Company has a single operating and reportable segment, with its principal products being protein-based consumer goods. The Company’s primary brands are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Unless otherwise stated or the context otherwise indicates, all references in these financial statements and notes to “BellRing,” the “Company,” “us,” “our” or “we” mean BellRing Brands, Inc. and its subsidiaries.</w:t>
      </w:r>
    </w:p>
    <w:p>
      <w:pPr>
        <w:spacing w:after="0" w:line="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have been prepared in accordance with accounting principles generally accepted in the United States of America (“GAAP”), under the rules and regulations of the United States (the “U.S.”) Securities and Exchange Commission (the “SEC”), and on a basis substantially consistent with the audited consolidated financial statements of the Company as of and for the fiscal year ended September 30, 2024. These unaudited condensed consolidated financial statements should be read in conjunction with such audited consolidated financial statements, which are included in the Company’s Annual Report on Form 10-K for the fiscal year ended September 30, 2024, filed with the SEC on November 19, 2024.</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include all adjustments (consisting of normal recurring adjustments and accruals) that management considers necessary for a fair statement of the Company’s results of operations, comprehensive income, financial position, cash flows and stockholders’ equity for the interim periods presented. Interim results are not necessarily indicative of the results for any other interim period or for the entire fiscal year. Certain reclassifications have been made to previously reported financial information to conform to the current year presentation.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RECENTLY ISSUED ACCOUNTING STANDARDS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considered all new accounting pronouncements and has concluded there are no new pronouncements (other than the ones described below) that had or will have a material impact on the Company’s results of operations, comprehensive income, financial position, cash flows, stockholders’ equity or related disclosures based on current information.</w:t>
      </w:r>
    </w:p>
    <w:p>
      <w:pPr>
        <w:spacing w:after="0" w:line="6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November 2024, the Financial Accounting Standards Board (the “FASB”) issued Accounting Standards Update (“ASU”) 2024-03, “Income Statement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Reporting Comprehensive Income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Expense Disaggregation Disclosures (Subtopic 220-40): Disaggregation of Income Statement Expenses.” This ASU is effective for fiscal years beginning after December 15, 2026 (i.e., the Company’s annual financial statements for the year ended September 30, 2028) and for interim periods within fiscal years beginning after December 15, 2027 (i.e., the Company’s interim financial statements for the three months ended December 31, 2028), with early adoption permitted. This ASU can be adopted either (i) prospectively to financial statements issued for reporting periods after the effective date of this ASU or (ii) retrospectively to any or all prior periods presented in the financial statements. The Company is currently evaluating the impact of this standard.</w:t>
      </w:r>
    </w:p>
    <w:p>
      <w:pPr>
        <w:spacing w:after="0" w:line="8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This ASU is effective for fiscal years beginning after December 15, 2024 (i.e., the Company’s annual financial statements for the year ended September 30, 2026), with early adoption permitted. This ASU should be adopted prospectively; however, retrospective adoption is permitted. The Company is currently evaluating the impact of this standard.</w:t>
      </w:r>
    </w:p>
    <w:p>
      <w:pPr>
        <w:spacing w:after="0" w:line="7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which expands annual and interim disclosure requirements for reportable segments, primarily through enhanced disclosures about significant segment expenses. This ASU is effective for fiscal years beginning after December 15, 2023 (i.e., the Company’s annual financial statements for the year ended September 30, 2025) and for interim periods within fiscal years beginning after December 15, 2024 (i.e., the Company’s interim financial statements for the three months ended December 31, 2025), with early adoption permitted. This ASU requires retrospective adoption. The Company is currently evaluating the impact of this standard.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net sales by product.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6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6"/>
                <w:szCs w:val="16"/>
                <w:color w:val="auto"/>
              </w:rPr>
            </w:pPr>
          </w:p>
        </w:tc>
        <w:tc>
          <w:tcPr>
            <w:tcW w:w="2100" w:type="dxa"/>
            <w:vAlign w:val="bottom"/>
            <w:gridSpan w:val="4"/>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6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60" w:type="dxa"/>
            <w:vAlign w:val="bottom"/>
            <w:tcBorders>
              <w:bottom w:val="single" w:sz="8" w:color="auto"/>
            </w:tcBorders>
          </w:tcPr>
          <w:p>
            <w:pPr>
              <w:spacing w:after="0"/>
              <w:rPr>
                <w:sz w:val="18"/>
                <w:szCs w:val="18"/>
                <w:color w:val="auto"/>
              </w:rPr>
            </w:pPr>
          </w:p>
        </w:tc>
      </w:tr>
      <w:tr>
        <w:trPr>
          <w:trHeight w:val="210"/>
        </w:trPr>
        <w:tc>
          <w:tcPr>
            <w:tcW w:w="63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Shakes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487.5</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397.9</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927.0</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747.9</w:t>
            </w:r>
          </w:p>
        </w:tc>
      </w:tr>
      <w:tr>
        <w:trPr>
          <w:trHeight w:val="23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Powders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w:t>
            </w:r>
          </w:p>
        </w:tc>
      </w:tr>
      <w:tr>
        <w:trPr>
          <w:trHeight w:val="22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23"/>
        </w:trPr>
        <w:tc>
          <w:tcPr>
            <w:tcW w:w="63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588.0</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494.6</w:t>
            </w: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1,120.9</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925.0</w:t>
            </w:r>
          </w:p>
        </w:tc>
      </w:tr>
      <w:tr>
        <w:trPr>
          <w:trHeight w:val="21"/>
        </w:trPr>
        <w:tc>
          <w:tcPr>
            <w:tcW w:w="6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RELATED PARTY TRANSACTIONS</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Transactions between the Company and Post Holdings, Inc. (“Post”) are considered related party transactions as certain of the Company’s officers and/or directors serve as officers and/or directors of Post.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MSA Fees and Royalties</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uses certain functions and services performed by Post under a master services agreement (the “MSA”). These functions and services include finance, internal audit, treasury, information technology support, insurance and tax matters, the use of office and/or data center space, tax compliance services and, prior to January 2025, payroll processing services. MSA fees were $0.7 and $1.6 during the three and six months ended March 31, 2025, respectively, and $0.8 and $1.7 during the three and six months ended March 31, 2024, respectively. MSA fees were reported in “Selling, general and administrative expenses” in the Condensed Consolidated Statements of Operations.</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licenses certain intellectual property to and from Post and its subsidiaries based upon prices governed by agreements between the Company and Post and its subsidiaries, consistent with prices of similar arm's-length transactions. During both the three and six months ended March 31, 2025 and 2024, royalties paid to and received from Post and its subsidiaries were immaterial.</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Co-Packing Agreement</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Premier Nutrition Company, LLC (“Premier Nutrition”), a subsidiary of the Company, has a co-packing agreement with Comet Processing, Inc. (“Comet”), a wholly-owned subsidiary of Post (the “Co-Packing Agreement”). Under the Co-Packing Agreement, Premier Nutrition procures certain packaging materials for Comet that Comet utilizes in the production of RTD shakes for Premier Nutrition. Comet began manufacturing RTD shakes in December 2023. The Company purchased $20.8 and $27.1 of RTD shakes from Comet during the three and six months ended March 31, 2025, respectively, and $1.9 of RTD shakes from Comet during both the three and six months ended March 31, 2024.</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March 31, 2025 and September 30, 2024, the Company had current payables with Post of $12.6 and $1.5, respectively, primarily related to RTD shake purchases and MSA fees, which were included in “Accounts payable” on the Condensed Consolidated Balance Sheets. Current receivables with Post at both March 31, 2025 and September 30, 2024 were immaterial.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EARNINGS PER SHARE</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Basic earnings per share is based on the average number of shares of common stock outstanding during each period. Diluted earnings per share is based on the average number of shares of common stock used for the basic earnings per share calculation, adjusted for the dilutive effect of stock options and restricted stock units using the “treasury stock” method.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computation of basic and diluted earnings per share.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6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6"/>
                <w:szCs w:val="16"/>
                <w:color w:val="auto"/>
              </w:rPr>
            </w:pPr>
          </w:p>
        </w:tc>
        <w:tc>
          <w:tcPr>
            <w:tcW w:w="2100" w:type="dxa"/>
            <w:vAlign w:val="bottom"/>
            <w:gridSpan w:val="4"/>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6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60" w:type="dxa"/>
            <w:vAlign w:val="bottom"/>
            <w:tcBorders>
              <w:bottom w:val="single" w:sz="8" w:color="auto"/>
            </w:tcBorders>
          </w:tcPr>
          <w:p>
            <w:pPr>
              <w:spacing w:after="0"/>
              <w:rPr>
                <w:sz w:val="18"/>
                <w:szCs w:val="18"/>
                <w:color w:val="auto"/>
              </w:rPr>
            </w:pPr>
          </w:p>
        </w:tc>
      </w:tr>
      <w:tr>
        <w:trPr>
          <w:trHeight w:val="209"/>
        </w:trPr>
        <w:tc>
          <w:tcPr>
            <w:tcW w:w="63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r>
      <w:tr>
        <w:trPr>
          <w:trHeight w:val="270"/>
        </w:trPr>
        <w:tc>
          <w:tcPr>
            <w:tcW w:w="6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2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for basic earnings per share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w:t>
            </w:r>
          </w:p>
        </w:tc>
      </w:tr>
      <w:tr>
        <w:trPr>
          <w:trHeight w:val="23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6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 options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6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stock units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6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Performance-based restricted stock units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for diluted earnings per share</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1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1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w:t>
            </w:r>
          </w:p>
        </w:tc>
      </w:tr>
      <w:tr>
        <w:trPr>
          <w:trHeight w:val="20"/>
        </w:trPr>
        <w:tc>
          <w:tcPr>
            <w:tcW w:w="6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37"/>
        </w:trPr>
        <w:tc>
          <w:tcPr>
            <w:tcW w:w="6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r>
      <w:tr>
        <w:trPr>
          <w:trHeight w:val="229"/>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2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0.77</w:t>
            </w:r>
          </w:p>
        </w:tc>
      </w:tr>
      <w:tr>
        <w:trPr>
          <w:trHeight w:val="22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0.76</w:t>
            </w: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were no anti-dilutive securities excluded from the calculation of weighted-average shares for diluted earnings per share during the three or six months ended March 31, 2025 or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INVENTORIES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80" w:type="dxa"/>
            <w:vAlign w:val="bottom"/>
          </w:tcPr>
          <w:p>
            <w:pPr>
              <w:spacing w:after="0"/>
              <w:rPr>
                <w:sz w:val="16"/>
                <w:szCs w:val="16"/>
                <w:color w:val="auto"/>
              </w:rPr>
            </w:pPr>
          </w:p>
        </w:tc>
        <w:tc>
          <w:tcPr>
            <w:tcW w:w="126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4"/>
        </w:trPr>
        <w:tc>
          <w:tcPr>
            <w:tcW w:w="8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22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4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products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0" w:type="dxa"/>
            <w:vAlign w:val="bottom"/>
          </w:tcPr>
          <w:p>
            <w:pPr>
              <w:spacing w:after="0"/>
              <w:rPr>
                <w:sz w:val="1"/>
                <w:szCs w:val="1"/>
                <w:color w:val="auto"/>
              </w:rPr>
            </w:pPr>
          </w:p>
        </w:tc>
      </w:tr>
      <w:tr>
        <w:trPr>
          <w:trHeight w:val="223"/>
        </w:trPr>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7 — PROPERTY, NET</w:t>
            </w: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82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80" w:type="dxa"/>
            <w:vAlign w:val="bottom"/>
          </w:tcPr>
          <w:p>
            <w:pPr>
              <w:spacing w:after="0"/>
              <w:rPr>
                <w:sz w:val="16"/>
                <w:szCs w:val="16"/>
                <w:color w:val="auto"/>
              </w:rPr>
            </w:pPr>
          </w:p>
        </w:tc>
        <w:tc>
          <w:tcPr>
            <w:tcW w:w="126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4"/>
        </w:trPr>
        <w:tc>
          <w:tcPr>
            <w:tcW w:w="8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22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at cost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Property,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GOODWILL</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components of “Goodwill” on the Condensed Consolidated Balance Sheets at both March 31, 2025 and September 30, 2024 are presented in the following table.</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gross</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w:t>
            </w:r>
          </w:p>
        </w:tc>
      </w:tr>
      <w:tr>
        <w:trPr>
          <w:trHeight w:val="230"/>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w:t>
            </w:r>
          </w:p>
        </w:tc>
      </w:tr>
      <w:tr>
        <w:trPr>
          <w:trHeight w:val="248"/>
        </w:trPr>
        <w:tc>
          <w:tcPr>
            <w:tcW w:w="98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INTANGIBLE ASSETS, NET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158"/>
        </w:trPr>
        <w:tc>
          <w:tcPr>
            <w:tcW w:w="2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20" w:type="dxa"/>
            <w:vAlign w:val="bottom"/>
          </w:tcPr>
          <w:p>
            <w:pPr>
              <w:spacing w:after="0"/>
              <w:rPr>
                <w:sz w:val="13"/>
                <w:szCs w:val="13"/>
                <w:color w:val="auto"/>
              </w:rPr>
            </w:pPr>
          </w:p>
        </w:tc>
        <w:tc>
          <w:tcPr>
            <w:tcW w:w="132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40" w:type="dxa"/>
            <w:vAlign w:val="bottom"/>
          </w:tcPr>
          <w:p>
            <w:pPr>
              <w:spacing w:after="0"/>
              <w:rPr>
                <w:sz w:val="13"/>
                <w:szCs w:val="13"/>
                <w:color w:val="auto"/>
              </w:rPr>
            </w:pPr>
          </w:p>
        </w:tc>
        <w:tc>
          <w:tcPr>
            <w:tcW w:w="1060" w:type="dxa"/>
            <w:vAlign w:val="bottom"/>
          </w:tcPr>
          <w:p>
            <w:pPr>
              <w:jc w:val="center"/>
              <w:ind w:right="133"/>
              <w:spacing w:after="0" w:line="158" w:lineRule="exact"/>
              <w:rPr>
                <w:sz w:val="20"/>
                <w:szCs w:val="20"/>
                <w:color w:val="auto"/>
              </w:rPr>
            </w:pPr>
            <w:r>
              <w:rPr>
                <w:rFonts w:ascii="Times New Roman" w:cs="Times New Roman" w:eastAsia="Times New Roman" w:hAnsi="Times New Roman"/>
                <w:sz w:val="16"/>
                <w:szCs w:val="16"/>
                <w:b w:val="1"/>
                <w:bCs w:val="1"/>
                <w:color w:val="auto"/>
                <w:w w:val="99"/>
              </w:rPr>
              <w:t>Net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right"/>
              <w:ind w:right="253"/>
              <w:spacing w:after="0" w:line="158"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40" w:type="dxa"/>
            <w:vAlign w:val="bottom"/>
          </w:tcPr>
          <w:p>
            <w:pPr>
              <w:spacing w:after="0"/>
              <w:rPr>
                <w:sz w:val="13"/>
                <w:szCs w:val="13"/>
                <w:color w:val="auto"/>
              </w:rPr>
            </w:pPr>
          </w:p>
        </w:tc>
        <w:tc>
          <w:tcPr>
            <w:tcW w:w="1060" w:type="dxa"/>
            <w:vAlign w:val="bottom"/>
          </w:tcPr>
          <w:p>
            <w:pPr>
              <w:jc w:val="right"/>
              <w:ind w:right="453"/>
              <w:spacing w:after="0" w:line="158" w:lineRule="exact"/>
              <w:rPr>
                <w:sz w:val="20"/>
                <w:szCs w:val="20"/>
                <w:color w:val="auto"/>
              </w:rPr>
            </w:pPr>
            <w:r>
              <w:rPr>
                <w:rFonts w:ascii="Times New Roman" w:cs="Times New Roman" w:eastAsia="Times New Roman" w:hAnsi="Times New Roman"/>
                <w:sz w:val="16"/>
                <w:szCs w:val="16"/>
                <w:b w:val="1"/>
                <w:bCs w:val="1"/>
                <w:color w:val="auto"/>
              </w:rPr>
              <w:t>Net</w:t>
            </w:r>
          </w:p>
        </w:tc>
      </w:tr>
      <w:tr>
        <w:trPr>
          <w:trHeight w:val="214"/>
        </w:trPr>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40" w:type="dxa"/>
            <w:vAlign w:val="bottom"/>
          </w:tcPr>
          <w:p>
            <w:pPr>
              <w:spacing w:after="0"/>
              <w:rPr>
                <w:sz w:val="18"/>
                <w:szCs w:val="18"/>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20" w:type="dxa"/>
            <w:vAlign w:val="bottom"/>
          </w:tcPr>
          <w:p>
            <w:pPr>
              <w:spacing w:after="0"/>
              <w:rPr>
                <w:sz w:val="18"/>
                <w:szCs w:val="18"/>
                <w:color w:val="auto"/>
              </w:rPr>
            </w:pPr>
          </w:p>
        </w:tc>
        <w:tc>
          <w:tcPr>
            <w:tcW w:w="1100" w:type="dxa"/>
            <w:vAlign w:val="bottom"/>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40" w:type="dxa"/>
            <w:vAlign w:val="bottom"/>
          </w:tcPr>
          <w:p>
            <w:pPr>
              <w:spacing w:after="0"/>
              <w:rPr>
                <w:sz w:val="18"/>
                <w:szCs w:val="18"/>
                <w:color w:val="auto"/>
              </w:rPr>
            </w:pPr>
          </w:p>
        </w:tc>
        <w:tc>
          <w:tcPr>
            <w:tcW w:w="1060" w:type="dxa"/>
            <w:vAlign w:val="bottom"/>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25"/>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2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r>
      <w:tr>
        <w:trPr>
          <w:trHeight w:val="230"/>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 and brands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r>
      <w:tr>
        <w:trPr>
          <w:trHeight w:val="229"/>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6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328.2</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328.2</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w:t>
            </w:r>
          </w:p>
        </w:tc>
      </w:tr>
      <w:tr>
        <w:trPr>
          <w:trHeight w:val="21"/>
        </w:trPr>
        <w:tc>
          <w:tcPr>
            <w:tcW w:w="2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fiscal 2023, the Company approved a plan to discontinue the </w:t>
      </w:r>
      <w:r>
        <w:rPr>
          <w:rFonts w:ascii="Times New Roman" w:cs="Times New Roman" w:eastAsia="Times New Roman" w:hAnsi="Times New Roman"/>
          <w:sz w:val="18"/>
          <w:szCs w:val="18"/>
          <w:i w:val="1"/>
          <w:iCs w:val="1"/>
          <w:color w:val="auto"/>
        </w:rPr>
        <w:t>PowerBar</w:t>
      </w:r>
      <w:r>
        <w:rPr>
          <w:rFonts w:ascii="Times New Roman" w:cs="Times New Roman" w:eastAsia="Times New Roman" w:hAnsi="Times New Roman"/>
          <w:sz w:val="18"/>
          <w:szCs w:val="18"/>
          <w:color w:val="auto"/>
        </w:rPr>
        <w:t xml:space="preserve"> business in North America. In connection with the discontinuance, the Company updated the useful lives of the customer relationships and trademark associated with the </w:t>
      </w:r>
      <w:r>
        <w:rPr>
          <w:rFonts w:ascii="Times New Roman" w:cs="Times New Roman" w:eastAsia="Times New Roman" w:hAnsi="Times New Roman"/>
          <w:sz w:val="18"/>
          <w:szCs w:val="18"/>
          <w:i w:val="1"/>
          <w:iCs w:val="1"/>
          <w:color w:val="auto"/>
        </w:rPr>
        <w:t>PowerBar</w:t>
      </w:r>
      <w:r>
        <w:rPr>
          <w:rFonts w:ascii="Times New Roman" w:cs="Times New Roman" w:eastAsia="Times New Roman" w:hAnsi="Times New Roman"/>
          <w:sz w:val="18"/>
          <w:szCs w:val="18"/>
          <w:color w:val="auto"/>
        </w:rPr>
        <w:t xml:space="preserve"> business in North America to reflect the remaining period in which the Company expected to sell existing </w:t>
      </w:r>
      <w:r>
        <w:rPr>
          <w:rFonts w:ascii="Times New Roman" w:cs="Times New Roman" w:eastAsia="Times New Roman" w:hAnsi="Times New Roman"/>
          <w:sz w:val="18"/>
          <w:szCs w:val="18"/>
          <w:i w:val="1"/>
          <w:iCs w:val="1"/>
          <w:color w:val="auto"/>
        </w:rPr>
        <w:t>PowerBar</w:t>
      </w:r>
      <w:r>
        <w:rPr>
          <w:rFonts w:ascii="Times New Roman" w:cs="Times New Roman" w:eastAsia="Times New Roman" w:hAnsi="Times New Roman"/>
          <w:sz w:val="18"/>
          <w:szCs w:val="18"/>
          <w:color w:val="auto"/>
        </w:rPr>
        <w:t xml:space="preserve"> product inventory in North America. Accelerated amortization of $17.4 was recorded during the six months ended March 31, 2024 resulting from the updated useful lives of the customer relationships and trademark associated with the </w:t>
      </w:r>
      <w:r>
        <w:rPr>
          <w:rFonts w:ascii="Times New Roman" w:cs="Times New Roman" w:eastAsia="Times New Roman" w:hAnsi="Times New Roman"/>
          <w:sz w:val="18"/>
          <w:szCs w:val="18"/>
          <w:i w:val="1"/>
          <w:iCs w:val="1"/>
          <w:color w:val="auto"/>
        </w:rPr>
        <w:t>PowerBar</w:t>
      </w:r>
      <w:r>
        <w:rPr>
          <w:rFonts w:ascii="Times New Roman" w:cs="Times New Roman" w:eastAsia="Times New Roman" w:hAnsi="Times New Roman"/>
          <w:sz w:val="18"/>
          <w:szCs w:val="18"/>
          <w:color w:val="auto"/>
        </w:rPr>
        <w:t xml:space="preserve"> business in North America, which were fully amortized and written off in fiscal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DERIVATIVE FINANCIAL INSTRUMENTS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the Company is exposed to commodity price risks relating to the purchases of raw materials and supplies. The Company utilizes derivative instruments, such as futures and option contracts to manage certain of these exposures by hedging when it is practical to do so. The Company does not hold or issue financial instruments for speculative or trading purposes.</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March 31, 2025, the Company’s derivative instruments, none of which were designated as hedging instruments under Accounting Standards Codification (“ASC”) Topic 815, “Derivatives and Hedging,” consisted of commodity futures and option contracts which relate to inputs that generally will be utilized within the next twelve months. The notional amounts of the commodity contracts were $160.8 and $53.5 at March 31, 2025 and September 30, 2024, respectively.</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balance sheet location and fair value of the Company’s commodity contracts. The Company does not offset derivative assets and liabilities within the Condensed Consolidated Balance Sheets.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4"/>
        </w:trPr>
        <w:tc>
          <w:tcPr>
            <w:tcW w:w="824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100" w:type="dxa"/>
            <w:vAlign w:val="bottom"/>
            <w:shd w:val="clear" w:color="auto" w:fill="CCEEFF"/>
          </w:tcPr>
          <w:p>
            <w:pPr>
              <w:jc w:val="right"/>
              <w:ind w:right="89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100" w:type="dxa"/>
            <w:vAlign w:val="bottom"/>
          </w:tcPr>
          <w:p>
            <w:pPr>
              <w:jc w:val="right"/>
              <w:ind w:right="89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bl>
    <w:p>
      <w:pPr>
        <w:spacing w:after="0" w:line="16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recognized a loss on derivatives of $10.4 and $9.6 during the three and six months ended March 31, 2025, respectively, and $4.5 and $6.1 during the three and six months ended March 31, 2024, respectively, which were recorded in “Cost of goods sold” in the Condensed Consolidated Statements of Operations.</w:t>
      </w:r>
    </w:p>
    <w:p>
      <w:pPr>
        <w:spacing w:after="0" w:line="6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At March 31, 2025 and September 30, 2024, the Company had cash deposits which served as pledged collateral for certain of its commodity contracts of $16.1 and $0.3, respectively, which were classified as “Restricted cash” on the Condensed Consolidated Balance Sheets.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FAIR VALUE MEASUREMENTS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utilizes the income approach to measure fair value for its commodity derivatives using Level 2 inputs. The income approach uses pricing models that rely on market observable inputs such as yield curves and forward prices. Refer to Note 10 for the classification of changes in fair value of derivative assets and liabilities measured at fair value on a recurring basis within the Condensed Consolidated Statements of Operations.</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financial assets and liabilities include cash, cash equivalents and restricted cash, receivables and accounts payable for which the carrying value approximates fair value due to their short maturities (less than 12 months). The Company does not record its long-term debt at fair value on the Condensed Consolidated Balance Sheets. Based on market rates, the fair value (Level 2) of the Company’s debt, excluding any outstanding borrowings under the Revolving Credit Facility (as defined in Note 12), was $870.5 and $880.6 as of March 31, 2025 and September 30, 2024, respectively.</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Certain assets and liabilities, including property, goodwill and other intangible assets, are measured at fair value on a non-recurring basis using Level 3 inputs.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LONG-TERM DEBT</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components of “Long-term debt” on the Condensed Consolidated Balance Sheets.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80" w:type="dxa"/>
            <w:vAlign w:val="bottom"/>
          </w:tcPr>
          <w:p>
            <w:pPr>
              <w:spacing w:after="0"/>
              <w:rPr>
                <w:sz w:val="16"/>
                <w:szCs w:val="16"/>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4"/>
        </w:trPr>
        <w:tc>
          <w:tcPr>
            <w:tcW w:w="8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7.00% senior notes maturing in March 2030</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principal amount of debt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Debt issuance costs, net</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48"/>
        </w:trPr>
        <w:tc>
          <w:tcPr>
            <w:tcW w:w="8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833.1</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March 10, 2022, the Company entered into a credit agreement (as amended, the “Credit Agreement”), which provides for a revolving credit facility in an aggregate principal amount of $250.0 (the “Revolving Credit Facility”), with commitments made available to the Company in U.S. Dollars, Euros and United Kingdom (“U.K.”) Pounds Sterling. Letters of credit are available under the Credit Agreement in an aggregate amount of up to $20.0. Any outstanding amounts under the Credit Agreement must be repaid on or before March 10, 2027.</w:t>
      </w:r>
    </w:p>
    <w:p>
      <w:pPr>
        <w:spacing w:after="0" w:line="7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Borrowings under the Revolving Credit Facility bear interest at an annual rate equal to: (i) in the case of loans denominated in U.S. Dollars, at the Company’s option, the base rate (as defined in the Credit Agreement) plus a margin which ranges from 2.00% to 2.75% depending on the Company’s secured net leverage ratio (as defined in the Credit Agreement), or the adjusted term SOFR rate (as defined in the Credit Agreement) for the applicable interest period plus a margin which ranges from 3.00% to 3.75% depending on the Company’s secured net leverage ratio; (ii) in the case of loans denominated in Euros, the adjusted Eurodollar rate (as defined in the Credit Agreement) for the applicable interest period plus a margin which ranges from 3.00% to 3.75% depending on the Company’s secured net leverage ratio; and (iii) in the case of loans denominated in U.K. Pounds Sterling, the adjusted daily simple RFR (as defined in the Credit Agreement) plus a margin which ranges from 3.00% to 3.75% depending on the Company’s secured net leverage ratio. Facility fees on the daily unused amount of commitments under the Revolving Credit Facility accrue at rates ranging from 0.25% to 0.375% per annum, depending on the Company’s secured net leverage ratio.</w:t>
      </w:r>
    </w:p>
    <w:p>
      <w:pPr>
        <w:spacing w:after="0" w:line="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six months ended March 31, 2025, the Company borrowed $230.0 and repaid $110.0 under the Revolving Credit Facility. During the six months ended March 31, 2024, the Company had no borrowings and repaid $25.0 under the Revolving Credit Facility. As of March 31, 2025, the interest rate on the utilized portion of the Revolving Credit Facility was 9.50%, the available borrowing capacity under the Revolving Credit Facility was $130.0 and there were no outstanding letters of credit. As of September 30, 2024, there were no amounts outstanding under the Revolving Credit Facility, the available borrowing capacity under the Revolving Credit Facility was $250.0 and there were no outstanding letters of credit.</w:t>
      </w:r>
    </w:p>
    <w:p>
      <w:pPr>
        <w:spacing w:after="0" w:line="7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Under the terms of the Credit Agreement, the Company is required to maintain a total net leverage ratio (as defined in the Credit Agreement) not to exceed 6.00:1.00, measured as of the last day of each fiscal quarter. The total net leverage ratio of the Company did not exceed this threshold as of March 31, 2025.</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Credit Agreement provides for potential incremental revolving and term facilities at the Company’s request and at the discretion of the lenders or other persons providing such incremental facilities, in each case on terms to be determined, and also permits the Company to incur other secured or unsecured debt, in all cases subject to conditions and limitations as specified in the Credit Agreement.</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Furthermore, the Credit Agreement provides for customary events of default. Upon the occurrence and during the continuance of an event of default, the maturity of the loans under the Credit Agreement may accelerate and the administrative agent and lenders under the Credit Agreement may exercise other rights and remedies available at law or under the loan documents, including with respect to the collateral securing, and guarantees of, the Company’s obligations under the Credit Agreement.</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obligations under the Credit Agreement are unconditionally guaranteed by its existing and subsequently acquired or organized direct and indirect subsidiaries (other than immaterial subsidiaries, certain excluded subsidiaries and subsidiaries the Company designates as unrestricted subsidiaries) and are secured by security interests in substantially all of the Company’s assets and the assets of its subsidiary guarantors, but excluding, in each case, real property.</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Joint Juice Litigation</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March 2013, a complaint was filed on behalf of a putative, nationwide class of consumers against Premier Nutrition in the U.S. District Court for the Northern District of California seeking monetary damages and injunctive relief. The case asserted that some of Premier Nutrition’s advertising claims regarding its </w:t>
      </w:r>
      <w:r>
        <w:rPr>
          <w:rFonts w:ascii="Times New Roman" w:cs="Times New Roman" w:eastAsia="Times New Roman" w:hAnsi="Times New Roman"/>
          <w:sz w:val="18"/>
          <w:szCs w:val="18"/>
          <w:i w:val="1"/>
          <w:iCs w:val="1"/>
          <w:color w:val="auto"/>
        </w:rPr>
        <w:t>Joint Juice</w:t>
      </w:r>
      <w:r>
        <w:rPr>
          <w:rFonts w:ascii="Times New Roman" w:cs="Times New Roman" w:eastAsia="Times New Roman" w:hAnsi="Times New Roman"/>
          <w:sz w:val="18"/>
          <w:szCs w:val="18"/>
          <w:color w:val="auto"/>
        </w:rPr>
        <w:t xml:space="preserve"> line of glucosamine and chondroitin dietary supplement beverages, which it discontinued in the first quarter of fiscal 2023, were false and misleading. In April 2016, the district court certified a California-only class of consumers in this lawsuit (this lawsuit is hereinafter referred to as the “California Federal Class Lawsuit”).</w:t>
      </w:r>
    </w:p>
    <w:p>
      <w:pPr>
        <w:spacing w:after="0" w:line="75"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 xml:space="preserve">In 2016 and 2017, the lead plaintiff’s counsel in the California Federal Class Lawsuit filed ten additional class action complaints in the U.S. District Court for the Northern District of California on behalf of putative classes of consumers under the laws of Connecticut, Florida, Illinois, New Jersey, New Mexico, New York, Maryland, Massachusetts, Michigan and Pennsylvania (the “Related Federal Actions”). These complaints contain factual allegations similar to the California Federal Class Lawsuit, also seeking monetary damages and injunctive relief. The action on behalf of New Jersey consumers was voluntarily dismissed. Trial in the action on behalf of New York consumers (the “New York Case”) was held beginning in May 2022, and the jury delivered its verdict in favor of plaintiff in June 2022. In August 2022, the Court entered a judgment in that case in favor of plaintiff in the amount of $12.9, which includes statutory damages and prejudgment interest, and in August 2023, the Court entered a judgment awarding plaintiff $7.9 in attorneys’ fees and costs. In October 2022, each plaintiff and Premier Nutrition filed Notices of Appeal to the Ninth Circuit on the damages award and in December 2023 Premier Nutrition filed its Notice of Appeal to the Ninth Circuit on the attorneys’ fees award. In August 2024, the Court of Appeals issued an opinion on the damages award affirming the trial court’s decision on liability, vacating and remanding to the trial court for further consideration its decision on calculated damages and reversing the trial court’s award of prejudgment interest to plaintiff. Premier Nutrition’s subsequent petition for </w:t>
      </w:r>
      <w:r>
        <w:rPr>
          <w:rFonts w:ascii="Times New Roman" w:cs="Times New Roman" w:eastAsia="Times New Roman" w:hAnsi="Times New Roman"/>
          <w:sz w:val="18"/>
          <w:szCs w:val="18"/>
          <w:i w:val="1"/>
          <w:iCs w:val="1"/>
          <w:color w:val="auto"/>
        </w:rPr>
        <w:t>en banc</w:t>
      </w:r>
      <w:r>
        <w:rPr>
          <w:rFonts w:ascii="Times New Roman" w:cs="Times New Roman" w:eastAsia="Times New Roman" w:hAnsi="Times New Roman"/>
          <w:sz w:val="18"/>
          <w:szCs w:val="18"/>
          <w:color w:val="auto"/>
        </w:rPr>
        <w:t xml:space="preserve"> rehearing with the Ninth Circuit Court of Appeals was denied in October 2024. On January 25, 2025, the Ninth Circuit affirmed the trial court’s attorneys’ fees award. </w:t>
      </w:r>
      <w:r>
        <w:rPr>
          <w:rFonts w:ascii="Times New Roman" w:cs="Times New Roman" w:eastAsia="Times New Roman" w:hAnsi="Times New Roman"/>
          <w:sz w:val="18"/>
          <w:szCs w:val="18"/>
          <w:color w:val="231F20"/>
        </w:rPr>
        <w:t>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February 3, 2025, the trial court entered an order awarding $0.9 in attorneys’ fees and costs. On March 10, 2025, the trial court entered an order again limiting statutory damages to $8.3 under the due process clause. </w:t>
      </w:r>
      <w:r>
        <w:rPr>
          <w:rFonts w:ascii="Times New Roman" w:cs="Times New Roman" w:eastAsia="Times New Roman" w:hAnsi="Times New Roman"/>
          <w:sz w:val="18"/>
          <w:szCs w:val="18"/>
          <w:color w:val="000000"/>
        </w:rPr>
        <w:t>Each plaintiff and Premier Nutrition filed Notices of Appeal to the Ninth Circuit on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damages award</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000000"/>
        </w:rPr>
        <w:t xml:space="preserve"> On March 13, 2025, Premier Nutrition filed a certiorari petition with the United States Supreme Court seeking review of the Ninth Circuit’s merits decision.</w:t>
      </w:r>
    </w:p>
    <w:p>
      <w:pPr>
        <w:spacing w:after="0" w:line="76"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231F20"/>
        </w:rPr>
        <w:t>In February 2025, the court set a trial date for February 2026 in the Related Federal Action on behalf of the class of consumers in Illinois (the “Illinois Case”). Plaintiff filed a motion to apply issue preclusion from certain rulings in the New York Case to the Illinois Ca</w:t>
      </w:r>
      <w:r>
        <w:rPr>
          <w:rFonts w:ascii="Times New Roman" w:cs="Times New Roman" w:eastAsia="Times New Roman" w:hAnsi="Times New Roman"/>
          <w:sz w:val="18"/>
          <w:szCs w:val="18"/>
          <w:color w:val="000000"/>
        </w:rPr>
        <w:t>se. On May 2, 2025, the trial court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entered an order holding that issue preclusion will apply in the Illinois Case on the issues of deceptiveness, materiality, the measure of damages, and the First Amendment, but not on the issues of causation, intent, or punitive damages.The seven other Related Federal Actions remain pending, and the court has certified individual state classes in each of those cases (except New Mexico).</w:t>
      </w:r>
    </w:p>
    <w:p>
      <w:pPr>
        <w:spacing w:after="0" w:line="6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In April 2018, the district court dismissed the California Federal Class Lawsuit with prejudice. This dismissal was upheld on appeal by the U.S. Court of Appeals for the Ninth Circuit in 2020, and plaintiff’s petition for an </w:t>
      </w:r>
      <w:r>
        <w:rPr>
          <w:rFonts w:ascii="Times New Roman" w:cs="Times New Roman" w:eastAsia="Times New Roman" w:hAnsi="Times New Roman"/>
          <w:sz w:val="18"/>
          <w:szCs w:val="18"/>
          <w:i w:val="1"/>
          <w:iCs w:val="1"/>
          <w:color w:val="auto"/>
        </w:rPr>
        <w:t>en banc</w:t>
      </w:r>
      <w:r>
        <w:rPr>
          <w:rFonts w:ascii="Times New Roman" w:cs="Times New Roman" w:eastAsia="Times New Roman" w:hAnsi="Times New Roman"/>
          <w:sz w:val="18"/>
          <w:szCs w:val="18"/>
          <w:color w:val="auto"/>
        </w:rPr>
        <w:t xml:space="preserve"> rehearing by the Ninth Circuit was denied.</w:t>
      </w:r>
    </w:p>
    <w:p>
      <w:pPr>
        <w:spacing w:after="0" w:line="54"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color w:val="auto"/>
        </w:rPr>
        <w:t xml:space="preserve">In September 2020, the same lead counsel re-filed the California Federal Class Lawsuit against Premier Nutrition in California Superior Court for the County of Alameda, alleging identical claims and seeking restitution and injunctive relief on behalf of the same putative class of California consumers as the California Federal Class Lawsuit. In March 2023, the Alameda Superior Court granted in part and denied in part Premier Nutrition’s motion for judgment based on res judicata and in May 2023, the Court reaffirmed its ruling. In July 2023, Premier Nutrition filed a petition for writ of mandamus in the California Court of Appeal, which writ was denied in March 2024. In November 2023, the Court certified the case as a class action. Trial is currently stayed pending the resolution of the appeal in the New York Case. In January 2025, the </w:t>
      </w:r>
      <w:r>
        <w:rPr>
          <w:rFonts w:ascii="Times New Roman" w:cs="Times New Roman" w:eastAsia="Times New Roman" w:hAnsi="Times New Roman"/>
          <w:sz w:val="18"/>
          <w:szCs w:val="18"/>
          <w:color w:val="231F20"/>
        </w:rPr>
        <w:t>plaintiff filed a motion for the application of issue preclusion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arising from certain rulings in the New York Case. The court has not yet issued a decision.</w:t>
      </w:r>
    </w:p>
    <w:p>
      <w:pPr>
        <w:spacing w:after="0" w:line="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January 2019, the same lead counsel filed an additional class action complaint against Premier Nutrition in California Superior Court for the County of Alameda, alleging claims similar to the above actions and seeking monetary damages and injunctive relief on behalf of a putative class of California consumers, beginning after the California Federal Class Lawsuit class period. In July 2020, the court issued an order certifying a statewide class. Premier Nutrition moved for summary judgment in July 2023, which motion remains pending. In January 2025, the </w:t>
      </w:r>
      <w:r>
        <w:rPr>
          <w:rFonts w:ascii="Times New Roman" w:cs="Times New Roman" w:eastAsia="Times New Roman" w:hAnsi="Times New Roman"/>
          <w:sz w:val="18"/>
          <w:szCs w:val="18"/>
          <w:color w:val="231F20"/>
        </w:rPr>
        <w:t>plaintiff filed a motion for the application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issue preclusion arising from certain rulings in the New York Case decision. The court has not yet issued a decision.</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continues to vigorously defend these cases and intends to appeal any adverse judgements and awards of damages. The Company does not believe that the ultimate resolution of these cases will have a material adverse effect on its consolidated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During the three and six months ended March 31, 2025, the Company expensed $0.9 related to the legal matter and plaintiff legal fees in connection with the </w:t>
      </w:r>
      <w:r>
        <w:rPr>
          <w:rFonts w:ascii="Times New Roman" w:cs="Times New Roman" w:eastAsia="Times New Roman" w:hAnsi="Times New Roman"/>
          <w:sz w:val="18"/>
          <w:szCs w:val="18"/>
          <w:i w:val="1"/>
          <w:iCs w:val="1"/>
          <w:color w:val="auto"/>
        </w:rPr>
        <w:t>Joint Juice</w:t>
      </w:r>
      <w:r>
        <w:rPr>
          <w:rFonts w:ascii="Times New Roman" w:cs="Times New Roman" w:eastAsia="Times New Roman" w:hAnsi="Times New Roman"/>
          <w:sz w:val="18"/>
          <w:szCs w:val="18"/>
          <w:color w:val="auto"/>
        </w:rPr>
        <w:t xml:space="preserve"> litigation, which was included in “Selling, general and administrative expenses” on the Condensed Consolidated Statements of Operations. Other than legal fees, no expense related to this litigation was incurred during the three or six months ended March 31, 2024. At March 31, 2025 and September 30, 2024, the Company had an estimated liability of $21.9 and $21.0, respectively, related to these matters that was included in “Other current liabilities” on the Condensed Consolidated Balance Sheets.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Protein Products Class Litigation</w:t>
      </w:r>
    </w:p>
    <w:p>
      <w:pPr>
        <w:spacing w:after="0" w:line="11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June 2023, a complaint was filed on behalf of a putative, nationwide class of consumers against the Company and Premier Nutrition in the U.S. District Court for the Northern District of California. The complaint alleges that Premier Nutrition engages in fraud and false advertising (via alleged affirmative representations and omissions) regarding its RTD protein shakes and protein powders by marketing the products as good sources of nutrition and protein when the products contain (or have a material risk of containing) high levels of undisclosed lead (this lawsuit is hereinafter referred to as the “Protein Products Class Lawsuit”). Plaintiffs seek monetary remedies for economic injury (products are allegedly worth less than what was paid for them), as well as injunctive relief. The Protein Products Class Lawsuit alleges that high levels of lead pose serious safety risks, but does not allege that any plaintiff or putative class member suffered personal injuries and does not seek any remedies for personal injuries.</w:t>
      </w:r>
    </w:p>
    <w:p>
      <w:pPr>
        <w:spacing w:after="0" w:line="8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and Premier Nutrition filed a motion to dismiss this case in August 2023, which motion was granted in part and denied in part. Plaintiffs filed an amended complaint in July 2024, and in August 2024 the Company and Premier Nutrition filed a motion to dismiss the amended complaint, which motion is pending. The Company intends to vigorously defend the case, including appealing any adverse judgement or award. The Company does not believe that the ultimate resolution of the Protein Products Class Lawsuit will have a material adverse effect on its consolidated financial condition, results of operations or cash flows.</w:t>
      </w:r>
    </w:p>
    <w:p>
      <w:pPr>
        <w:spacing w:after="0" w:line="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Other than legal fees, no expense related to the Protein Products Class Lawsuit was incurred during the three or six months ended March 31, 2025 or 2024.</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California Proposition 65 Notice re Lead in Protein Products</w:t>
      </w:r>
    </w:p>
    <w:p>
      <w:pPr>
        <w:spacing w:after="0" w:line="10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June 7, 2023, the Fitzgerald Joseph LLP law firm (the same firm that filed the Protein Products Class Lawsuit) issued a 60-Day Notice of Intent to Sue under California’s Safe Water and Toxic Enforcement Act (Proposition 65) for alleged violation of Proposition 65 with respect to lead levels in Premier Nutrition’s RTD protein shakes and protein powders (this matter is hereinafter referred to as the “Protein Products Prop 65 Notice”).</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Premier Nutrition intends to vigorously defend against the Protein Products Prop 65 Notice. The Company does not believe that the ultimate resolution of the Protein Products Prop 65 Notice will have a material adverse effect on its consolidated financial condition, results of operations or cash flows.</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than legal fees, no expense related to the Protein Products Prop 65 Notice was incurred during the three or six months ended March 31, 2025 or 2024.</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1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is subject to various other legal proceedings and actions arising in the normal course of business. In the opinion of management, based upon the information presently known, the ultimate liability, if any, arising from such pending legal proceedings, as well as from asserted legal claims and known potential legal claims which are likely to be asserted, taking into account established accruals for estimated liabilities (if any), are not expected to be material individually or in the aggregate to the consolidated financial condition, results of operations or cash flows of the Company. In addition, although it is difficult to estimate the potential financial impact of actions regarding expenditures for compliance with regulatory matters, in the opinion of management, based upon the information currently available, the ultimate liability arising from such compliance matters is not expected to be material to the consolidated financial condition, results of operations or cash flows of the Company.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STOCKHOLDERS’ DEFICIT</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repurchases of its common stock.</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6"/>
                <w:szCs w:val="16"/>
                <w:color w:val="auto"/>
              </w:rPr>
            </w:pPr>
          </w:p>
        </w:tc>
        <w:tc>
          <w:tcPr>
            <w:tcW w:w="2000" w:type="dxa"/>
            <w:vAlign w:val="bottom"/>
            <w:gridSpan w:val="4"/>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6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20" w:type="dxa"/>
            <w:vAlign w:val="bottom"/>
            <w:tcBorders>
              <w:bottom w:val="single" w:sz="8" w:color="auto"/>
            </w:tcBorders>
          </w:tcPr>
          <w:p>
            <w:pPr>
              <w:spacing w:after="0"/>
              <w:rPr>
                <w:sz w:val="18"/>
                <w:szCs w:val="18"/>
                <w:color w:val="auto"/>
              </w:rPr>
            </w:pPr>
          </w:p>
        </w:tc>
      </w:tr>
      <w:tr>
        <w:trPr>
          <w:trHeight w:val="209"/>
        </w:trPr>
        <w:tc>
          <w:tcPr>
            <w:tcW w:w="66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repurchased</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price per share (a)</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71.68</w:t>
            </w:r>
          </w:p>
        </w:tc>
        <w:tc>
          <w:tcPr>
            <w:tcW w:w="1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56.46</w:t>
            </w:r>
          </w:p>
        </w:tc>
        <w:tc>
          <w:tcPr>
            <w:tcW w:w="1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71.98</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52.28</w:t>
            </w:r>
          </w:p>
        </w:tc>
      </w:tr>
      <w:tr>
        <w:trPr>
          <w:trHeight w:val="23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 repurchase cost (b)</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r>
    </w:tbl>
    <w:p>
      <w:pPr>
        <w:spacing w:after="0" w:line="189" w:lineRule="exact"/>
        <w:rPr>
          <w:sz w:val="20"/>
          <w:szCs w:val="20"/>
          <w:color w:val="auto"/>
        </w:rPr>
      </w:pPr>
    </w:p>
    <w:p>
      <w:pPr>
        <w:ind w:left="320" w:hanging="312"/>
        <w:spacing w:after="0"/>
        <w:tabs>
          <w:tab w:leader="none" w:pos="3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Average price per share excludes any accrued excise tax and broker’s commissions, which are included in “Total share repurchase cost” within this table.</w:t>
      </w:r>
    </w:p>
    <w:p>
      <w:pPr>
        <w:spacing w:after="0" w:line="113" w:lineRule="exact"/>
        <w:rPr>
          <w:rFonts w:ascii="Times New Roman" w:cs="Times New Roman" w:eastAsia="Times New Roman" w:hAnsi="Times New Roman"/>
          <w:sz w:val="16"/>
          <w:szCs w:val="16"/>
          <w:color w:val="auto"/>
        </w:rPr>
      </w:pPr>
    </w:p>
    <w:p>
      <w:pPr>
        <w:jc w:val="both"/>
        <w:ind w:left="340" w:hanging="332"/>
        <w:spacing w:after="0" w:line="263" w:lineRule="auto"/>
        <w:tabs>
          <w:tab w:leader="none" w:pos="3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“Purchases of treasury stock” in the Condensed Consolidated Statements of Cash Flows for the six months ended March 31, 2025 excluded $1.0 of accrued excise tax that had not been paid as of March 31, 2025 and included $2.2 of accrued excise tax payments that had been accrued in prior fiscal years. “Purchases of treasury stock” in the Condensed Consolidated Statements of Cash Flows for the six months ended March 31, 2024 excluded $1.5 of repurchases of common stock that did not settle until April 2024 and $0.2 of accrued excise tax that had not been paid as of March 31, 2024.</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r>
        <w:rPr>
          <w:rFonts w:ascii="Times New Roman" w:cs="Times New Roman" w:eastAsia="Times New Roman" w:hAnsi="Times New Roman"/>
          <w:sz w:val="20"/>
          <w:szCs w:val="20"/>
          <w:color w:val="auto"/>
        </w:rPr>
        <w:t>.</w:t>
      </w:r>
    </w:p>
    <w:p>
      <w:pPr>
        <w:spacing w:after="0" w:line="238" w:lineRule="exact"/>
        <w:rPr>
          <w:sz w:val="20"/>
          <w:szCs w:val="20"/>
          <w:color w:val="auto"/>
        </w:rPr>
      </w:pPr>
    </w:p>
    <w:p>
      <w:pPr>
        <w:jc w:val="both"/>
        <w:ind w:left="20" w:firstLine="324"/>
        <w:spacing w:after="0" w:line="258" w:lineRule="auto"/>
        <w:rPr>
          <w:sz w:val="20"/>
          <w:szCs w:val="20"/>
          <w:color w:val="auto"/>
        </w:rPr>
      </w:pPr>
      <w:r>
        <w:rPr>
          <w:rFonts w:ascii="Times New Roman" w:cs="Times New Roman" w:eastAsia="Times New Roman" w:hAnsi="Times New Roman"/>
          <w:sz w:val="18"/>
          <w:szCs w:val="18"/>
          <w:color w:val="auto"/>
        </w:rPr>
        <w:t>The following discussion summarizes the significant factors affecting the consolidated operating results, financial condition, liquidity and capital resources of BellRing Brands, Inc. and its consolidated subsidiaries. This discussion should be read in conjunction with our unaudited condensed consolidated financial statements and notes thereto included herein, our audited consolidated financial statements and notes thereto in our Annual Report on Form 10-K for the fiscal year ended September 30, 2024 and the “Cautionary Statement on Forward-Looking Statements” section included below. The terms “our,” “we,” “us,” “Company” and “BellRing” refer to BellRing Brands, Inc. and its consolidated subsidiaries.</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left="20" w:firstLine="324"/>
        <w:spacing w:after="0" w:line="266" w:lineRule="auto"/>
        <w:rPr>
          <w:sz w:val="20"/>
          <w:szCs w:val="20"/>
          <w:color w:val="auto"/>
        </w:rPr>
      </w:pPr>
      <w:r>
        <w:rPr>
          <w:rFonts w:ascii="Times New Roman" w:cs="Times New Roman" w:eastAsia="Times New Roman" w:hAnsi="Times New Roman"/>
          <w:sz w:val="18"/>
          <w:szCs w:val="18"/>
          <w:color w:val="auto"/>
        </w:rPr>
        <w:t xml:space="preserve">We are a consumer products holding company operating in the global convenient nutrition category and are a provider of ready-to-drink (“RTD”) protein shakes and powders. We have a single operating and reportable segment, with our principal products being protein-based consumer goods. Our primary brands are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Dymatize.</w:t>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Market Trends</w:t>
      </w:r>
    </w:p>
    <w:p>
      <w:pPr>
        <w:spacing w:after="0" w:line="121" w:lineRule="exact"/>
        <w:rPr>
          <w:sz w:val="20"/>
          <w:szCs w:val="20"/>
          <w:color w:val="auto"/>
        </w:rPr>
      </w:pPr>
    </w:p>
    <w:p>
      <w:pPr>
        <w:jc w:val="both"/>
        <w:ind w:left="20" w:firstLine="324"/>
        <w:spacing w:after="0" w:line="261" w:lineRule="auto"/>
        <w:rPr>
          <w:sz w:val="20"/>
          <w:szCs w:val="20"/>
          <w:color w:val="auto"/>
        </w:rPr>
      </w:pPr>
      <w:r>
        <w:rPr>
          <w:rFonts w:ascii="Times New Roman" w:cs="Times New Roman" w:eastAsia="Times New Roman" w:hAnsi="Times New Roman"/>
          <w:sz w:val="18"/>
          <w:szCs w:val="18"/>
          <w:color w:val="auto"/>
        </w:rPr>
        <w:t>During fiscal 2024, inflationary pressures on protein costs eased while other costs, such as packaging and manufacturing, faced inflationary pressures. During fiscal 2025, input costs, including raw material, packaging and manufacturing costs, have faced, and continue to face, inflationary pressures. Inflation (including the potential impact of tariffs) could have a materially adverse impact on our business in the future if inflation rates were to significantly exceed our ability to achieve price increases or cost savings or if such price increases impact demand for our products.</w:t>
      </w:r>
    </w:p>
    <w:p>
      <w:pPr>
        <w:spacing w:after="0" w:line="7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For additional discussion, refer to “Liquidity and Capital Resources” and “Cautionary Statement on Forward-Looking Statements” within this section.</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0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60" w:type="dxa"/>
            <w:vAlign w:val="bottom"/>
          </w:tcPr>
          <w:p>
            <w:pPr>
              <w:spacing w:after="0"/>
              <w:rPr>
                <w:sz w:val="16"/>
                <w:szCs w:val="16"/>
                <w:color w:val="auto"/>
              </w:rPr>
            </w:pPr>
          </w:p>
        </w:tc>
        <w:tc>
          <w:tcPr>
            <w:tcW w:w="1160" w:type="dxa"/>
            <w:vAlign w:val="bottom"/>
            <w:gridSpan w:val="3"/>
            <w:vMerge w:val="restart"/>
          </w:tcPr>
          <w:p>
            <w:pPr>
              <w:ind w:left="420"/>
              <w:spacing w:after="0"/>
              <w:rPr>
                <w:sz w:val="20"/>
                <w:szCs w:val="20"/>
                <w:color w:val="auto"/>
              </w:rPr>
            </w:pPr>
            <w:r>
              <w:rPr>
                <w:rFonts w:ascii="Times New Roman" w:cs="Times New Roman" w:eastAsia="Times New Roman" w:hAnsi="Times New Roman"/>
                <w:sz w:val="16"/>
                <w:szCs w:val="16"/>
                <w:b w:val="1"/>
                <w:bCs w:val="1"/>
                <w:color w:val="auto"/>
              </w:rPr>
              <w:t>Change in</w:t>
            </w: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00" w:type="dxa"/>
            <w:vAlign w:val="bottom"/>
            <w:gridSpan w:val="7"/>
          </w:tcPr>
          <w:p>
            <w:pPr>
              <w:ind w:left="100"/>
              <w:spacing w:after="0"/>
              <w:rPr>
                <w:sz w:val="20"/>
                <w:szCs w:val="20"/>
                <w:color w:val="auto"/>
              </w:rPr>
            </w:pPr>
            <w:r>
              <w:rPr>
                <w:rFonts w:ascii="Times New Roman" w:cs="Times New Roman" w:eastAsia="Times New Roman" w:hAnsi="Times New Roman"/>
                <w:sz w:val="16"/>
                <w:szCs w:val="16"/>
                <w:b w:val="1"/>
                <w:bCs w:val="1"/>
                <w:color w:val="auto"/>
              </w:rPr>
              <w:t>Six Months Ended March</w:t>
            </w:r>
          </w:p>
        </w:tc>
        <w:tc>
          <w:tcPr>
            <w:tcW w:w="260" w:type="dxa"/>
            <w:vAlign w:val="bottom"/>
          </w:tcPr>
          <w:p>
            <w:pPr>
              <w:spacing w:after="0"/>
              <w:rPr>
                <w:sz w:val="16"/>
                <w:szCs w:val="16"/>
                <w:color w:val="auto"/>
              </w:rPr>
            </w:pPr>
          </w:p>
        </w:tc>
        <w:tc>
          <w:tcPr>
            <w:tcW w:w="1180" w:type="dxa"/>
            <w:vAlign w:val="bottom"/>
            <w:gridSpan w:val="3"/>
            <w:vMerge w:val="restart"/>
          </w:tcPr>
          <w:p>
            <w:pPr>
              <w:ind w:left="420"/>
              <w:spacing w:after="0"/>
              <w:rPr>
                <w:sz w:val="20"/>
                <w:szCs w:val="20"/>
                <w:color w:val="auto"/>
              </w:rPr>
            </w:pPr>
            <w:r>
              <w:rPr>
                <w:rFonts w:ascii="Times New Roman" w:cs="Times New Roman" w:eastAsia="Times New Roman" w:hAnsi="Times New Roman"/>
                <w:sz w:val="16"/>
                <w:szCs w:val="16"/>
                <w:b w:val="1"/>
                <w:bCs w:val="1"/>
                <w:color w:val="auto"/>
              </w:rPr>
              <w:t>Change in</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6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vMerge w:val="continue"/>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w w:val="89"/>
              </w:rPr>
              <w:t>31,</w:t>
            </w:r>
          </w:p>
        </w:tc>
        <w:tc>
          <w:tcPr>
            <w:tcW w:w="7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vMerge w:val="continue"/>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1,120.9</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56"/>
        </w:trPr>
        <w:tc>
          <w:tcPr>
            <w:tcW w:w="20" w:type="dxa"/>
            <w:vAlign w:val="bottom"/>
            <w:vMerge w:val="restart"/>
          </w:tcPr>
          <w:p>
            <w:pPr>
              <w:spacing w:after="0"/>
              <w:rPr>
                <w:sz w:val="22"/>
                <w:szCs w:val="22"/>
                <w:color w:val="auto"/>
              </w:rPr>
            </w:pPr>
          </w:p>
        </w:tc>
        <w:tc>
          <w:tcPr>
            <w:tcW w:w="2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38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119" w:lineRule="exact"/>
        <w:rPr>
          <w:sz w:val="20"/>
          <w:szCs w:val="20"/>
          <w:color w:val="auto"/>
        </w:rPr>
      </w:pPr>
    </w:p>
    <w:p>
      <w:pPr>
        <w:jc w:val="both"/>
        <w:ind w:left="20" w:firstLine="324"/>
        <w:spacing w:after="0" w:line="258" w:lineRule="auto"/>
        <w:rPr>
          <w:sz w:val="20"/>
          <w:szCs w:val="20"/>
          <w:color w:val="auto"/>
        </w:rPr>
      </w:pPr>
      <w:r>
        <w:rPr>
          <w:rFonts w:ascii="Times New Roman" w:cs="Times New Roman" w:eastAsia="Times New Roman" w:hAnsi="Times New Roman"/>
          <w:sz w:val="18"/>
          <w:szCs w:val="18"/>
          <w:color w:val="auto"/>
        </w:rPr>
        <w:t xml:space="preserve">Net sales increased $93.4 million, or 19%, during the three months ended March 31, 2025 compared to the prior year period. Sales of </w:t>
      </w:r>
      <w:r>
        <w:rPr>
          <w:rFonts w:ascii="Times New Roman" w:cs="Times New Roman" w:eastAsia="Times New Roman" w:hAnsi="Times New Roman"/>
          <w:sz w:val="18"/>
          <w:szCs w:val="18"/>
          <w:i w:val="1"/>
          <w:iCs w:val="1"/>
          <w:color w:val="auto"/>
        </w:rPr>
        <w:t>Premier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Protein </w:t>
      </w:r>
      <w:r>
        <w:rPr>
          <w:rFonts w:ascii="Times New Roman" w:cs="Times New Roman" w:eastAsia="Times New Roman" w:hAnsi="Times New Roman"/>
          <w:sz w:val="18"/>
          <w:szCs w:val="18"/>
          <w:color w:val="auto"/>
        </w:rPr>
        <w:t>products were up $92.3 million, or 22%, driven by 15% higher volumes primarily due to higher RTD shake production, distribution gains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increased promotional activity. Average net selling prices increased due to targeted price increases, partially offset by increased promotional activity. Sales of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 xml:space="preserve"> products were up $1.9 million, or 3%, driven by 20% higher volumes primarily due to higher international volumes and new product introductions. Average net selling prices decreased due to unfavorable product mix. Sales of all other products were down $0.8 million.</w:t>
      </w:r>
    </w:p>
    <w:p>
      <w:pPr>
        <w:spacing w:after="0" w:line="75" w:lineRule="exact"/>
        <w:rPr>
          <w:sz w:val="20"/>
          <w:szCs w:val="20"/>
          <w:color w:val="auto"/>
        </w:rPr>
      </w:pPr>
    </w:p>
    <w:p>
      <w:pPr>
        <w:jc w:val="both"/>
        <w:ind w:left="20" w:firstLine="324"/>
        <w:spacing w:after="0" w:line="258" w:lineRule="auto"/>
        <w:rPr>
          <w:sz w:val="20"/>
          <w:szCs w:val="20"/>
          <w:color w:val="auto"/>
        </w:rPr>
      </w:pPr>
      <w:r>
        <w:rPr>
          <w:rFonts w:ascii="Times New Roman" w:cs="Times New Roman" w:eastAsia="Times New Roman" w:hAnsi="Times New Roman"/>
          <w:sz w:val="18"/>
          <w:szCs w:val="18"/>
          <w:color w:val="auto"/>
        </w:rPr>
        <w:t xml:space="preserve">Net sales increased $195.9 million, or 21%, during the six months ended March 31, 2025 compared to the prior year period. Sales of </w:t>
      </w:r>
      <w:r>
        <w:rPr>
          <w:rFonts w:ascii="Times New Roman" w:cs="Times New Roman" w:eastAsia="Times New Roman" w:hAnsi="Times New Roman"/>
          <w:sz w:val="18"/>
          <w:szCs w:val="18"/>
          <w:i w:val="1"/>
          <w:iCs w:val="1"/>
          <w:color w:val="auto"/>
        </w:rPr>
        <w:t>Premier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Protein </w:t>
      </w:r>
      <w:r>
        <w:rPr>
          <w:rFonts w:ascii="Times New Roman" w:cs="Times New Roman" w:eastAsia="Times New Roman" w:hAnsi="Times New Roman"/>
          <w:sz w:val="18"/>
          <w:szCs w:val="18"/>
          <w:color w:val="auto"/>
        </w:rPr>
        <w:t>products were up $188.3 million, or 24%, driven by 18% higher volumes primarily due to higher RTD shake production, distribution gains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incremental promotional activity. Average net selling prices increased due to targeted price increases, partially offset by incremental promotional activity</w:t>
      </w:r>
      <w:r>
        <w:rPr>
          <w:rFonts w:ascii="Times New Roman" w:cs="Times New Roman" w:eastAsia="Times New Roman" w:hAnsi="Times New Roman"/>
          <w:sz w:val="18"/>
          <w:szCs w:val="18"/>
          <w:color w:val="EE2724"/>
        </w:rPr>
        <w:t>.</w:t>
      </w:r>
      <w:r>
        <w:rPr>
          <w:rFonts w:ascii="Times New Roman" w:cs="Times New Roman" w:eastAsia="Times New Roman" w:hAnsi="Times New Roman"/>
          <w:sz w:val="18"/>
          <w:szCs w:val="18"/>
          <w:color w:val="auto"/>
        </w:rPr>
        <w:t xml:space="preserve"> Sales of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 xml:space="preserve"> products were up $8.9 million, or 8%, driven by 16% higher volumes primarily due to higher international volumes and new product introductions. Average net selling prices decreased due to unfavorable product mix. Sales of all other products were down $1.3 million.</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Operating Profit</w:t>
      </w:r>
    </w:p>
    <w:p>
      <w:pPr>
        <w:spacing w:after="0" w:line="121" w:lineRule="exact"/>
        <w:rPr>
          <w:sz w:val="20"/>
          <w:szCs w:val="20"/>
          <w:color w:val="auto"/>
        </w:rPr>
      </w:pPr>
    </w:p>
    <w:p>
      <w:pPr>
        <w:jc w:val="both"/>
        <w:ind w:left="20" w:firstLine="324"/>
        <w:spacing w:after="0" w:line="261" w:lineRule="auto"/>
        <w:rPr>
          <w:sz w:val="20"/>
          <w:szCs w:val="20"/>
          <w:color w:val="auto"/>
        </w:rPr>
      </w:pPr>
      <w:r>
        <w:rPr>
          <w:rFonts w:ascii="Times New Roman" w:cs="Times New Roman" w:eastAsia="Times New Roman" w:hAnsi="Times New Roman"/>
          <w:sz w:val="18"/>
          <w:szCs w:val="18"/>
          <w:color w:val="auto"/>
        </w:rPr>
        <w:t>Operating profit increased $4.1 million, or 5%, during the three months ended March 31, 2025 compared to the prior year period. This increase was driven by higher net sales, as previously discussed. These positive impacts were partially offset by higher net product costs of $17.8 million (driven by higher raw material and manufacturing costs, partially offset by lower freight costs), increased advertising expense of $12.5 million and higher warehousing and distribution costs of $3.3 million.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Operating profit increased $46.4 million, or 28%, during the six months ended March 31, 2025 compared to the prior year period. This increase was primarily driven by higher net sales, as previously discussed, and accelerated amortization of $17.4 million recorded in the prior year period related to the discontinuance of the </w:t>
      </w:r>
      <w:r>
        <w:rPr>
          <w:rFonts w:ascii="Times New Roman" w:cs="Times New Roman" w:eastAsia="Times New Roman" w:hAnsi="Times New Roman"/>
          <w:sz w:val="18"/>
          <w:szCs w:val="18"/>
          <w:i w:val="1"/>
          <w:iCs w:val="1"/>
          <w:color w:val="auto"/>
        </w:rPr>
        <w:t>PowerBar</w:t>
      </w:r>
      <w:r>
        <w:rPr>
          <w:rFonts w:ascii="Times New Roman" w:cs="Times New Roman" w:eastAsia="Times New Roman" w:hAnsi="Times New Roman"/>
          <w:sz w:val="18"/>
          <w:szCs w:val="18"/>
          <w:color w:val="auto"/>
        </w:rPr>
        <w:t xml:space="preserve"> business in North America. These positive impacts were partially offset by higher net product costs of $15.3 million (driven by higher raw material costs, partially offset by lower manufacturing and freight costs), increased advertising expense of $21.4 million and higher warehousing and distribution costs of $7.1 million.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 Net</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Interest expense, net increased $2.0 million during the three months ended March 31, 2025 compared to the prior year period due to higher outstanding borrowings under our Revolving Credit Facility (as defined in “Liquidity and Capital Resources” below). The weighted-average interest rate on our total outstanding debt was 7.2% and 7.0% for the three months ended March 31, 2025 and 2024, respectively.</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Interest expense, net increased $1.5 million during the six months ended March 31, 2025 compared to the prior year period due to higher outstanding borrowings under our Revolving Credit Facility. The weighted-average interest rate on our total outstanding debt was 7.1% and 7.0% for the six months ended March 31, 2025 and 2024, respectively. See Note 12 within “Notes to Condensed Consolidated Financial Statements” for additional information on our debt.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effective income tax rate was 25.3% and 25.2% for the three months ended March 31, 2025 and 2024, respectively, and 24.5% and 24.9% for the six months ended March 31, 2025 and 2024, respectively.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During the six months ended March 31, 2025, we borrowed $230.0 million and repaid $110.0 million under our revolving credit facility, which is provided under our credit agreement entered into on March 10, 2022 (as amended, the “Credit Agreement”) in an aggregate principal amount of $250.0 million (the “Revolving Credit Facility”). As of March 31, 2025, we had $130.0 million of available borrowing capacity and no letters of credit outstanding under the Revolving Credit Facility. Letters of credit are available under the Revolving Credit Facility in an aggregate amount of up to $20.0 million. Our Credit Agreement provides for potential incremental revolving and term facilities at the Company’s request and at the discretion of the lenders or other persons providing such incremental facilities, in each case on terms to be determined, and also permits the Company to incur other secured or unsecured debt, in all cases subject to conditions and limitations as specified in the Credit Agreement.</w:t>
      </w:r>
    </w:p>
    <w:p>
      <w:pPr>
        <w:spacing w:after="0" w:line="8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six months ended March 31, 2025, we repurchased 2.5 million shares of our common stock at an average share price of $71.98 per share and at a total cost, including any accrued excise tax and broker’s commissions, of $183.7 million. In addition, during the six months ended March 31, 2025, we paid $2.2 million of excise tax that related to fiscal 2024 and 2023 share repurchases.</w:t>
      </w:r>
    </w:p>
    <w:p>
      <w:pPr>
        <w:spacing w:after="0" w:line="6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expect to generate positive cash flows from operations and believe our cash on hand, cash flows from operations and possible future credit facilities will be sufficient to satisfy our future working capital requirements, purchase commitments, research and development activities, debt repayments (including interest payments), share repurchases and other financing requirements for the foreseeable future. We are currently not aware of any trends or demands, commitments, events or uncertainties that will result in, or that are reasonably likely to result in, our liquidity increasing or decreasing in any material way that will impact meeting our capital needs during or beyond the next twelve months. Our ability to generate positive cash flows from operations is dependent on general economic conditions, competitive pressures and other business risk factors. We believe that we have sufficient liquidity and cash on hand to satisfy our cash needs. If we are unable to generate sufficient cash flows from operations, or otherwise to comply with the terms of our credit facilities, we may be required to seek additional financing alternatives.</w:t>
      </w:r>
    </w:p>
    <w:p>
      <w:pPr>
        <w:spacing w:after="0" w:line="8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Short-term financing needs primarily consist of working capital requirements and interest payments on our 7.00% senior notes maturing in March 2030 (the “7.00% Senior Notes”) and on outstanding borrowings under our Revolving Credit Facility. Long-term financing needs include the repayment of our 7.00% Senior Notes and outstanding borrowings under our Revolving Credit Facility. Additional long-term financing needs will depend largely on potential growth opportunities, including acquisition activity and other strategic transactions. Our asset-light business model requires modest capital expenditures, with annual capital expenditures over the last three fiscal years averaging less than 1% of net sales. No significant capital expenditures are planned during the next 12 months. Additionally, we may seek to repurchase shares of our common stock. Such repurchases, if any, will depend on prevailing market conditions, our liquidity requirements, contractual restrictions and other factors. The amounts involved may be material.</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 presents select cash flow data, which is discussed below.</w:t>
      </w: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Cash provided by (used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Investing activities</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00" w:right="2580" w:hanging="40"/>
        <w:spacing w:after="0" w:line="339" w:lineRule="auto"/>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 Net (decrease) increase in cash, cash equivalents and restricted cash</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Six Months Ended</w:t>
      </w:r>
    </w:p>
    <w:p>
      <w:pPr>
        <w:jc w:val="center"/>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436"/>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4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w:t>
            </w:r>
          </w:p>
        </w:tc>
      </w:tr>
      <w:tr>
        <w:trPr>
          <w:trHeight w:val="230"/>
        </w:trPr>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9"/>
        </w:trPr>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r>
      <w:tr>
        <w:trPr>
          <w:trHeight w:val="234"/>
        </w:trPr>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508" w:lineRule="exact"/>
        <w:rPr>
          <w:sz w:val="20"/>
          <w:szCs w:val="20"/>
          <w:color w:val="auto"/>
        </w:rPr>
      </w:pPr>
    </w:p>
    <w:p>
      <w:pPr>
        <w:sectPr>
          <w:pgSz w:w="11900" w:h="16838" w:orient="portrait"/>
          <w:cols w:equalWidth="0" w:num="2">
            <w:col w:w="8180" w:space="720"/>
            <w:col w:w="2340"/>
          </w:cols>
          <w:pgMar w:left="320" w:top="121" w:right="339" w:bottom="1440" w:gutter="0" w:footer="0" w:header="0"/>
        </w:sect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Cash provided by operating activities for the six months ended March 31, 2025 decreased $39.3 million compared to the prior year period. This decrease was primarily due to increased inventory levels in the current year period (driven by higher production), increased tax payments (net of refunds) of $4.4 million and increased interest payments of $1.5 million, partially offset by fluctuations in the timing of payments of trade payables.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for the six months ended March 31, 2025 increased $1.4 million compared to the prior year period resulting from an increase in capital expenditures.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121"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Cash used in financing activities for the six months ended March 31, 2025 increased $17.1 million compared to the prior year period, driven by higher payments of $154.1 million, including excise tax payments and broker’s commissions, for the repurchase of our common stock, higher repayments of $85.0 million under the Revolving Credit Facility and higher tax withholding payments related to stock compensation plans of $8.0 million. These cash outflows were partially offset by higher borrowings of $230.0 million under the Revolving Credit Facility.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Covenants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Credit Agreement contains affirmative and negative covenants applicable to us and our restricted subsidiaries customary for agreements of this type, including delivery of financial and other information; compliance with laws; maintenance of property, existence, insurance and books and records; providing inspection rights; obligation to provide collateral and guarantees by certain new subsidiaries; delivery of environmental reports; participation in an annual meeting with the agent and the lenders; further assurances; and limitations with respect to indebtedness, liens, fundamental changes, restrictive agreements, use of proceeds, amendments of organization documents, prepayments and amendments of certain indebtedness, dispositions of assets, acquisitions and other investments, sale leaseback transactions, changes in the nature of business, transactions with affiliates and dividends and redemptions or repurchases of stock. Under the terms of the Credit Agreement, we are also required to comply with a financial covenant requiring us to maintain a total net leverage ratio (as defined in the Credit Agreement) not to exceed 6.00:1.00, measured as of the last day of each fiscal quarter. We were in compliance with the financial covenant as of March 31, 2025, and we do not believe non-compliance is reasonably likely in the foreseeable future.</w:t>
      </w:r>
    </w:p>
    <w:p>
      <w:pPr>
        <w:spacing w:after="0" w:line="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Credit Agreement provides for potential incremental revolving and term facilities at our request and at the discretion of the lenders or other persons providing such incremental facilities, in each case on terms to be determined, and also permits us to incur other secured or unsecured debt, in all cases subject to conditions and limitations as specified in the Credit Agreement.</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the indenture governing the 7.00% Senior Notes contains negative covenants customary for this type of agreement that limit our ability and the ability of our restricted subsidiaries to, among other things: borrow money or guarantee debt; create liens; pay dividends on, or redeem or repurchase, stock; make specified types of investments and acquisitions; enter into or permit to exist contractual limits on the ability of our subsidiaries to pay dividends to us; enter into transactions with affiliates; and sell assets or merge with other companies. Certain of these covenants are subject to suspension when and if the 7.00% Senior Notes receive investment grade ratings.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critical accounting estimates are more fully described in our Annual Report on Form 10-K for the year ended September 30, 2024, as filed with the Securities and Exchange Commission (the “SEC”) on November 19, 2024. There have been no significant changes to our critical accounting estimates since September 30, 2024.</w:t>
      </w:r>
    </w:p>
    <w:p>
      <w:pPr>
        <w:spacing w:after="0" w:line="172"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2 within “Notes to Condensed Consolidated Financial Statements” for a discussion regarding recently issued accounting standards.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ON FORWARD-LOOKING STATEMENTS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Forward-looking statements, within the meaning of Section 27A of the Securities Act of 1933, as amended, and Section 21E of the Exchange Act, are made throughout this report, including statements regarding unanticipated developments that negatively impact our common stock. These forward-looking statements are sometimes identified from the use of forward-looking words such as “believe,” “should,” “could,” “potential,” “continue,” “expect,” “project,” “estimate,” “predict,” “anticipate,” “aim,” “intend,” “plan,” “forecast,” “target,” “is likely,” “will,” “can,” “may” or “would” or the negative of these terms or similar expressions elsewhere in this report. Our financial condition, results of operations and cash flows may differ materially from those in the forward-looking statements. Such statements are based on management’s current views and assumptions and involve risks and uncertainties that could affect expected results. Those risks and uncertainties include, but are not limited to, the following:</w:t>
      </w:r>
    </w:p>
    <w:p>
      <w:pPr>
        <w:spacing w:after="0" w:line="81"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sales from our RTD protein shakes;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compete in our product categories and our ability to retain our market position and favorable perceptions of our brands;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or inefficiencies in our supply chain, including as a result of our reliance on third-party suppliers or manufacturers for the manufacturing of many of our products, pandemics and other outbreaks of contagious diseases, labor shortages, fires and evacuations related thereto, changes in weather conditions, natural disasters, agricultural diseases and pests and other events beyond our control;</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third-party contract manufacturers for the manufacture of most of our products, including one manufacturer for nearly half of our RTD protein shakes;</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third-party contract manufacturers to produce an amount of our products that enables us to meet customer and consumer demand for the products;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a limited number of third-party suppliers to provide certain ingredients and packaging;</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volatility in the cost or availability of inputs to our business (including freight, raw materials, packaging, energy, labor and other supplies);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and respond to changes in consumer and customer preferences and behaviors and introduce new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in our distribution channels;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existing market penetration and enter into new markets;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 significant reduction of purchases by or the bankruptcy of a major customer;</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regulatory factors, such as compliance with existing laws and regulations, as well as new laws and regulations and changes to existing laws and regulations and interpretations thereof, affecting our business, including current and future laws and regulations regarding food safety, advertising, labeling, tax matters and environmental matters;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business due to changes in our promotional activities and seasonality;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net selling prices of our products and manage promotional activities with respect to our products;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financing (including both secured and unsecured debt) and our ability to service our outstanding debt (including covenants that restrict the operation of our business);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market data and attributes and related information;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critical accounting estimates;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or unfavorable economic conditions that limit customer and consumer demand for our products or increase our costs;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ongoing relationship with Post Holdings, Inc. (“Post”) following our separation from Post and Post’s distribution of our stock to its shareholders (the “Spin-off”), including our obligations under various agreements with Post;</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conflicting interests or the appearance of conflicting interests resulting from certain of our directors also serving as officers and/or directors of Post;</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previously completed Spin-off;</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ultimate impact litigation or other regulatory matters may have on us;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international business;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other assets and to continue to use third-party intellectual property subject to intellectual property licenses;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business disruptions and reputational damage associated with technology failures, cybersecurity incidents and corruption of our data privacy protections;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in the carrying value of goodwill or other intangible assets;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complete and integrate or otherwise effectively execute acquisitions or other strategic transactions and effectively manage our growth;</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talented personnel, employee absenteeism, labor strikes, work stoppages or unionization efforts;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satisfy the requirements of Section 404 of the Sarbanes-Oxley Act of 2002;</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differences in our actual operating results from any guidance we may give regarding our performance;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included under “Risk Factors” in this report and in our Annual Report on Form 10-K for the fiscal year ended September 30, 2024, filed with the SEC on November 19, 2024.</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Moreover, we undertake no obligation to update publicly any forward-looking statements for any reason after the date of this report to conform these statements to actual results or to changes in our expectations.</w:t>
      </w:r>
    </w:p>
    <w:p>
      <w:pPr>
        <w:spacing w:after="0" w:line="176" w:lineRule="exact"/>
        <w:rPr>
          <w:sz w:val="20"/>
          <w:szCs w:val="20"/>
          <w:color w:val="auto"/>
        </w:rPr>
      </w:pPr>
    </w:p>
    <w:p>
      <w:pPr>
        <w:ind w:right="3940"/>
        <w:spacing w:after="0" w:line="378" w:lineRule="auto"/>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 Commodity Price Risk</w:t>
      </w: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the Company is exposed to commodity price risks relating to the purchases of raw materials. The Company may use futures contracts and options to manage certain of these exposures when it is practical to do so. A hypothetical 10% adverse change in the market price of the Company’s principal hedged commodities, non-fat dry milk, would have decreased the fair value of the Company’s commodity-related derivatives portfolio by less than $1 million as of both March 31, 2025 and September 30, 2024. This volatility analysis ignores changes in the exposures inherent in the underlying hedged transactions. Because the Company does not hold or trade derivatives for speculation or profit, all changes in derivative values are effectively offset by corresponding changes in the underlying commodity exposures.</w:t>
      </w:r>
    </w:p>
    <w:p>
      <w:pPr>
        <w:spacing w:after="0" w:line="7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the Company’s commodity contracts, see Note 10 within “Notes to Condensed Consolidated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Related to Active Nutrition International GmbH, whose functional currency is the Euro, the Company is exposed to risks of fluctuations in future cash flows and earnings due to changes in exchange rates.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both March 31, 2025 and September 30, 2024, the Company had outstanding principal value indebtedness of $840.0 million related to its 7.00% Senior Notes. Additionally, the Company had outstanding borrowings of $120.0 million under its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Revolving Credit Facility as of March 31, 2025 and no amounts outstanding under its Revolving Credit Facility as of September 30, 2024. Borrowings under the Revolving Credit Facility bear interest at variable rates.</w:t>
      </w:r>
    </w:p>
    <w:p>
      <w:pPr>
        <w:spacing w:after="0" w:line="5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of March 31, 2025 and September 30, 2024, the fair value of the Company’s debt, excluding any borrowings under its Revolving Credit Facility, was $870.5 million and $880.6 million, respectively. Changes in interest rates impact fixed and variable rate debt differently. For fixed rate debt, a change in interest rates will only impact the fair value of the debt, whereas a change in interest rates on variable rate debt will impact interest expense and cash flows. A hypothetical 10% decrease in interest rates would have increased the fair value of the fixed rate debt by approximately $7 million as of both March 31, 2025 and September 30, 2024, respectively. A hypothetical 10% increase in interest rates would have had an immaterial impact on both interest expense and interest paid during the three and six months ended March 31, 2025, and the Company had no variable rate debt outstanding as of September 30, 2024. For additional information regarding the Company’s debt, see Note 12 within “Notes to Condensed Consolidated Financial Statements.”</w:t>
      </w:r>
    </w:p>
    <w:p>
      <w:pPr>
        <w:spacing w:after="0" w:line="18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Management, with the Chief Executive Officer (“CEO”) and Chief Financial Officer (“CFO”) of the Company, has evaluated the effectiveness of its disclosure controls and procedures (as defined in Rules 13a-15(e) and 15d-15(e) under the Exchange Act) as of the end of the period covered by this report. Based on that evaluation, the CEO and CFO concluded that, as of the end of the period covered by this report, the Company’s disclosure controls and procedures were effective to provide reasonable assurance of achieving the desired control objectives.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were no significant changes in the Company’s internal control over financial reporting during the quarter ended March 31, 2025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ind w:left="73"/>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73"/>
        <w:spacing w:after="0"/>
        <w:tabs>
          <w:tab w:leader="none" w:pos="933"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ind w:left="73"/>
        <w:spacing w:after="0"/>
        <w:tabs>
          <w:tab w:leader="none" w:pos="893"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jc w:val="both"/>
        <w:ind w:left="73" w:firstLine="324"/>
        <w:spacing w:after="0" w:line="258" w:lineRule="auto"/>
        <w:rPr>
          <w:sz w:val="20"/>
          <w:szCs w:val="20"/>
          <w:color w:val="auto"/>
        </w:rPr>
      </w:pPr>
      <w:r>
        <w:rPr>
          <w:rFonts w:ascii="Times New Roman" w:cs="Times New Roman" w:eastAsia="Times New Roman" w:hAnsi="Times New Roman"/>
          <w:sz w:val="18"/>
          <w:szCs w:val="18"/>
          <w:color w:val="auto"/>
        </w:rPr>
        <w:t>The information required under this Item 1 is set forth in Note 13 within “Notes to Condensed Consolidated Financial Statements” included in Part I, Item 1 of this report, which is incorporated herein by reference. For disclosure of environmental proceedings with a governmental entity as a party pursuant to Item 103(c)(3)(iii) of Regulation S-K, the Company has elected to disclose matters where the Company reasonably believes such proceeding would result in monetary sanctions, exclusive of interest and costs, of $1.0 million or more. Applying this threshold, there are no such environmental proceedings to disclose for the three months ended March 31, 2025.</w:t>
      </w:r>
    </w:p>
    <w:p>
      <w:pPr>
        <w:spacing w:after="0" w:line="179" w:lineRule="exact"/>
        <w:rPr>
          <w:sz w:val="20"/>
          <w:szCs w:val="20"/>
          <w:color w:val="auto"/>
        </w:rPr>
      </w:pPr>
    </w:p>
    <w:p>
      <w:pPr>
        <w:ind w:left="73"/>
        <w:spacing w:after="0"/>
        <w:tabs>
          <w:tab w:leader="none" w:pos="1033"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jc w:val="both"/>
        <w:ind w:left="73" w:firstLine="324"/>
        <w:spacing w:after="0" w:line="256" w:lineRule="auto"/>
        <w:rPr>
          <w:sz w:val="20"/>
          <w:szCs w:val="20"/>
          <w:color w:val="auto"/>
        </w:rPr>
      </w:pPr>
      <w:r>
        <w:rPr>
          <w:rFonts w:ascii="Times New Roman" w:cs="Times New Roman" w:eastAsia="Times New Roman" w:hAnsi="Times New Roman"/>
          <w:sz w:val="18"/>
          <w:szCs w:val="18"/>
          <w:color w:val="auto"/>
        </w:rPr>
        <w:t>In addition to the information set forth elsewhere in this Quarterly Report on Form 10-Q (the “Quarterly Report”), you should carefully consider the risk factors we previously disclosed in our Annual Report on Form 10-K, filed with the SEC on November 19, 2024, as of and for the year ended September 30, 2024 (the “Annual Report”). As of the date of this Quarterly Report, there have been no material changes to the risk factors previously disclosed in the Annual Report. These risks could materially and adversely affect our business, financial condition, results of operations and cash flows. Additional risks and uncertainties not presently known to us or that we currently deem immaterial also may impair our business, financial condition, results of operations and cash flows.</w:t>
      </w:r>
    </w:p>
    <w:p>
      <w:pPr>
        <w:spacing w:after="0" w:line="183" w:lineRule="exact"/>
        <w:rPr>
          <w:sz w:val="20"/>
          <w:szCs w:val="20"/>
          <w:color w:val="auto"/>
        </w:rPr>
      </w:pPr>
    </w:p>
    <w:p>
      <w:pPr>
        <w:ind w:left="73"/>
        <w:spacing w:after="0"/>
        <w:tabs>
          <w:tab w:leader="none" w:pos="893"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121" w:lineRule="exact"/>
        <w:rPr>
          <w:sz w:val="20"/>
          <w:szCs w:val="20"/>
          <w:color w:val="auto"/>
        </w:rPr>
      </w:pPr>
    </w:p>
    <w:p>
      <w:pPr>
        <w:jc w:val="both"/>
        <w:ind w:left="73"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repurchases of shares of our common stock during the three months ended March 31, 2025 and our common stock repurchase authorization.</w:t>
      </w:r>
    </w:p>
    <w:p>
      <w:pPr>
        <w:spacing w:after="0" w:line="67" w:lineRule="exact"/>
        <w:rPr>
          <w:sz w:val="20"/>
          <w:szCs w:val="20"/>
          <w:color w:val="auto"/>
        </w:rPr>
      </w:pPr>
    </w:p>
    <w:tbl>
      <w:tblPr>
        <w:tblLayout w:type="fixed"/>
        <w:tblInd w:w="73" w:type="dxa"/>
        <w:tblCellMar>
          <w:top w:w="0" w:type="dxa"/>
          <w:left w:w="0" w:type="dxa"/>
          <w:bottom w:w="0" w:type="dxa"/>
          <w:right w:w="0" w:type="dxa"/>
        </w:tblCellMar>
      </w:tblPr>
      <w:tr>
        <w:trPr>
          <w:trHeight w:val="207"/>
        </w:trPr>
        <w:tc>
          <w:tcPr>
            <w:tcW w:w="3260" w:type="dxa"/>
            <w:vAlign w:val="bottom"/>
          </w:tcPr>
          <w:p>
            <w:pPr>
              <w:spacing w:after="0"/>
              <w:rPr>
                <w:sz w:val="17"/>
                <w:szCs w:val="17"/>
                <w:color w:val="auto"/>
              </w:rPr>
            </w:pPr>
          </w:p>
        </w:tc>
        <w:tc>
          <w:tcPr>
            <w:tcW w:w="1760" w:type="dxa"/>
            <w:vAlign w:val="bottom"/>
            <w:vMerge w:val="restart"/>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2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Approximate Dollar Value of</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1760" w:type="dxa"/>
            <w:vAlign w:val="bottom"/>
            <w:vMerge w:val="continue"/>
          </w:tcPr>
          <w:p>
            <w:pPr>
              <w:spacing w:after="0"/>
              <w:rPr>
                <w:sz w:val="15"/>
                <w:szCs w:val="15"/>
                <w:color w:val="auto"/>
              </w:rPr>
            </w:pPr>
          </w:p>
        </w:tc>
        <w:tc>
          <w:tcPr>
            <w:tcW w:w="10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Price Paid</w:t>
            </w:r>
          </w:p>
        </w:tc>
        <w:tc>
          <w:tcPr>
            <w:tcW w:w="24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as Part of Publicly</w:t>
            </w:r>
          </w:p>
        </w:tc>
        <w:tc>
          <w:tcPr>
            <w:tcW w:w="2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260" w:type="dxa"/>
            <w:vAlign w:val="bottom"/>
            <w:vMerge w:val="restart"/>
          </w:tcPr>
          <w:p>
            <w:pPr>
              <w:ind w:left="160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760" w:type="dxa"/>
            <w:vAlign w:val="bottom"/>
          </w:tcPr>
          <w:p>
            <w:pPr>
              <w:jc w:val="center"/>
              <w:ind w:left="310"/>
              <w:spacing w:after="0" w:line="189" w:lineRule="exact"/>
              <w:rPr>
                <w:sz w:val="20"/>
                <w:szCs w:val="20"/>
                <w:color w:val="auto"/>
              </w:rPr>
            </w:pPr>
            <w:r>
              <w:rPr>
                <w:rFonts w:ascii="Times New Roman" w:cs="Times New Roman" w:eastAsia="Times New Roman" w:hAnsi="Times New Roman"/>
                <w:sz w:val="18"/>
                <w:szCs w:val="18"/>
                <w:b w:val="1"/>
                <w:bCs w:val="1"/>
                <w:color w:val="auto"/>
              </w:rPr>
              <w:t>of Shares</w:t>
            </w:r>
          </w:p>
        </w:tc>
        <w:tc>
          <w:tcPr>
            <w:tcW w:w="10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7"/>
              </w:rPr>
              <w:t>per Share</w:t>
            </w:r>
          </w:p>
        </w:tc>
        <w:tc>
          <w:tcPr>
            <w:tcW w:w="24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Announced Plans or Programs</w:t>
            </w:r>
          </w:p>
        </w:tc>
        <w:tc>
          <w:tcPr>
            <w:tcW w:w="2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Shares that May Yet be Purchased</w:t>
            </w:r>
          </w:p>
        </w:tc>
        <w:tc>
          <w:tcPr>
            <w:tcW w:w="0" w:type="dxa"/>
            <w:vAlign w:val="bottom"/>
          </w:tcPr>
          <w:p>
            <w:pPr>
              <w:spacing w:after="0"/>
              <w:rPr>
                <w:sz w:val="1"/>
                <w:szCs w:val="1"/>
                <w:color w:val="auto"/>
              </w:rPr>
            </w:pPr>
          </w:p>
        </w:tc>
      </w:tr>
      <w:tr>
        <w:trPr>
          <w:trHeight w:val="230"/>
        </w:trPr>
        <w:tc>
          <w:tcPr>
            <w:tcW w:w="3260" w:type="dxa"/>
            <w:vAlign w:val="bottom"/>
            <w:tcBorders>
              <w:bottom w:val="single" w:sz="8" w:color="auto"/>
            </w:tcBorders>
            <w:vMerge w:val="continue"/>
          </w:tcPr>
          <w:p>
            <w:pPr>
              <w:spacing w:after="0"/>
              <w:rPr>
                <w:sz w:val="19"/>
                <w:szCs w:val="19"/>
                <w:color w:val="auto"/>
              </w:rPr>
            </w:pPr>
          </w:p>
        </w:tc>
        <w:tc>
          <w:tcPr>
            <w:tcW w:w="176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w:t>
            </w: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Under the Plans or Programs (b)</w:t>
            </w:r>
          </w:p>
        </w:tc>
        <w:tc>
          <w:tcPr>
            <w:tcW w:w="0" w:type="dxa"/>
            <w:vAlign w:val="bottom"/>
          </w:tcPr>
          <w:p>
            <w:pPr>
              <w:spacing w:after="0"/>
              <w:rPr>
                <w:sz w:val="1"/>
                <w:szCs w:val="1"/>
                <w:color w:val="auto"/>
              </w:rPr>
            </w:pPr>
          </w:p>
        </w:tc>
      </w:tr>
      <w:tr>
        <w:trPr>
          <w:trHeight w:val="223"/>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2025 - January 31, 2025</w:t>
            </w:r>
          </w:p>
        </w:tc>
        <w:tc>
          <w:tcPr>
            <w:tcW w:w="1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549,577</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$72.79</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549,577</w:t>
            </w: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$124,071,144</w:t>
            </w:r>
          </w:p>
        </w:tc>
        <w:tc>
          <w:tcPr>
            <w:tcW w:w="0" w:type="dxa"/>
            <w:vAlign w:val="bottom"/>
          </w:tcPr>
          <w:p>
            <w:pPr>
              <w:spacing w:after="0"/>
              <w:rPr>
                <w:sz w:val="1"/>
                <w:szCs w:val="1"/>
                <w:color w:val="auto"/>
              </w:rPr>
            </w:pPr>
          </w:p>
        </w:tc>
      </w:tr>
      <w:tr>
        <w:trPr>
          <w:trHeight w:val="230"/>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 2025 - February 28, 2025</w:t>
            </w: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913,753</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$72.44</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913,753</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$57,880,411</w:t>
            </w:r>
          </w:p>
        </w:tc>
        <w:tc>
          <w:tcPr>
            <w:tcW w:w="0" w:type="dxa"/>
            <w:vAlign w:val="bottom"/>
          </w:tcPr>
          <w:p>
            <w:pPr>
              <w:spacing w:after="0"/>
              <w:rPr>
                <w:sz w:val="1"/>
                <w:szCs w:val="1"/>
                <w:color w:val="auto"/>
              </w:rPr>
            </w:pPr>
          </w:p>
        </w:tc>
      </w:tr>
      <w:tr>
        <w:trPr>
          <w:trHeight w:val="230"/>
        </w:trPr>
        <w:tc>
          <w:tcPr>
            <w:tcW w:w="3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2025 - March 31, 2025</w:t>
            </w:r>
          </w:p>
        </w:tc>
        <w:tc>
          <w:tcPr>
            <w:tcW w:w="1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931,541</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$70.28</w:t>
            </w:r>
          </w:p>
        </w:tc>
        <w:tc>
          <w:tcPr>
            <w:tcW w:w="2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931,541</w:t>
            </w:r>
          </w:p>
        </w:tc>
        <w:tc>
          <w:tcPr>
            <w:tcW w:w="2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$280,000,037</w:t>
            </w:r>
          </w:p>
        </w:tc>
        <w:tc>
          <w:tcPr>
            <w:tcW w:w="0" w:type="dxa"/>
            <w:vAlign w:val="bottom"/>
          </w:tcPr>
          <w:p>
            <w:pPr>
              <w:spacing w:after="0"/>
              <w:rPr>
                <w:sz w:val="1"/>
                <w:szCs w:val="1"/>
                <w:color w:val="auto"/>
              </w:rPr>
            </w:pPr>
          </w:p>
        </w:tc>
      </w:tr>
      <w:tr>
        <w:trPr>
          <w:trHeight w:val="223"/>
        </w:trPr>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2,394,871</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$71.68</w:t>
            </w:r>
          </w:p>
        </w:tc>
        <w:tc>
          <w:tcPr>
            <w:tcW w:w="2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2,394,871</w:t>
            </w:r>
          </w:p>
        </w:tc>
        <w:tc>
          <w:tcPr>
            <w:tcW w:w="2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$280,000,037</w:t>
            </w:r>
          </w:p>
        </w:tc>
        <w:tc>
          <w:tcPr>
            <w:tcW w:w="0" w:type="dxa"/>
            <w:vAlign w:val="bottom"/>
          </w:tcPr>
          <w:p>
            <w:pPr>
              <w:spacing w:after="0"/>
              <w:rPr>
                <w:sz w:val="1"/>
                <w:szCs w:val="1"/>
                <w:color w:val="auto"/>
              </w:rPr>
            </w:pPr>
          </w:p>
        </w:tc>
      </w:tr>
      <w:tr>
        <w:trPr>
          <w:trHeight w:val="20"/>
        </w:trPr>
        <w:tc>
          <w:tcPr>
            <w:tcW w:w="3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393" w:hanging="312"/>
        <w:spacing w:after="0"/>
        <w:tabs>
          <w:tab w:leader="none" w:pos="39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broker’s commissions or accrued excise tax, if any.</w:t>
      </w:r>
    </w:p>
    <w:p>
      <w:pPr>
        <w:spacing w:after="0" w:line="117" w:lineRule="exact"/>
        <w:rPr>
          <w:rFonts w:ascii="Times New Roman" w:cs="Times New Roman" w:eastAsia="Times New Roman" w:hAnsi="Times New Roman"/>
          <w:sz w:val="18"/>
          <w:szCs w:val="18"/>
          <w:color w:val="auto"/>
        </w:rPr>
      </w:pPr>
    </w:p>
    <w:p>
      <w:pPr>
        <w:jc w:val="both"/>
        <w:ind w:left="413" w:hanging="332"/>
        <w:spacing w:after="0" w:line="256" w:lineRule="auto"/>
        <w:tabs>
          <w:tab w:leader="none" w:pos="40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29, 2024, the Company’s Board of Directors approved a $300,000,000 repurchase authorization with respect to shares of the Company’s common stock (the “Prior Authorization”). The Prior Authorization was effective on March 11, 2024 and had an expiration date of March 11, 2026. On March 6, 2025, the Company’s Board of Directors approved a new $300,000,000 repurchase authorization with respect to shares of the Company’s common stock (the “New Authorization”) and cancelled, effective March 6, 2025, the Prior Authorization. The New Authorization was effective on March 6, 2025 and has an expiration date of March 6, 2027. Repurchases may be made from time to time in the open market, private purchases, through forward, derivative, accelerated repurchase or automatic purchase transactions, or otherwise.</w:t>
      </w:r>
    </w:p>
    <w:p>
      <w:pPr>
        <w:spacing w:after="0" w:line="183" w:lineRule="exact"/>
        <w:rPr>
          <w:sz w:val="20"/>
          <w:szCs w:val="20"/>
          <w:color w:val="auto"/>
        </w:rPr>
      </w:pPr>
    </w:p>
    <w:p>
      <w:pPr>
        <w:ind w:left="73"/>
        <w:spacing w:after="0"/>
        <w:tabs>
          <w:tab w:leader="none" w:pos="893"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7" w:lineRule="exact"/>
        <w:rPr>
          <w:sz w:val="20"/>
          <w:szCs w:val="20"/>
          <w:color w:val="auto"/>
        </w:rPr>
      </w:pPr>
    </w:p>
    <w:p>
      <w:pPr>
        <w:ind w:left="73"/>
        <w:spacing w:after="0"/>
        <w:rPr>
          <w:sz w:val="20"/>
          <w:szCs w:val="20"/>
          <w:color w:val="auto"/>
        </w:rPr>
      </w:pPr>
      <w:r>
        <w:rPr>
          <w:rFonts w:ascii="Times New Roman" w:cs="Times New Roman" w:eastAsia="Times New Roman" w:hAnsi="Times New Roman"/>
          <w:sz w:val="18"/>
          <w:szCs w:val="18"/>
          <w:i w:val="1"/>
          <w:iCs w:val="1"/>
          <w:color w:val="auto"/>
        </w:rPr>
        <w:t>Rule 10b5-1 and Non-Rule 10b5-1 Trading Arrangements</w:t>
      </w:r>
    </w:p>
    <w:p>
      <w:pPr>
        <w:spacing w:after="0" w:line="119" w:lineRule="exact"/>
        <w:rPr>
          <w:sz w:val="20"/>
          <w:szCs w:val="20"/>
          <w:color w:val="auto"/>
        </w:rPr>
      </w:pPr>
    </w:p>
    <w:p>
      <w:pPr>
        <w:ind w:left="73" w:firstLine="324"/>
        <w:spacing w:after="0" w:line="278" w:lineRule="auto"/>
        <w:rPr>
          <w:sz w:val="20"/>
          <w:szCs w:val="20"/>
          <w:color w:val="auto"/>
        </w:rPr>
      </w:pPr>
      <w:r>
        <w:rPr>
          <w:rFonts w:ascii="Times New Roman" w:cs="Times New Roman" w:eastAsia="Times New Roman" w:hAnsi="Times New Roman"/>
          <w:sz w:val="18"/>
          <w:szCs w:val="18"/>
          <w:color w:val="auto"/>
        </w:rPr>
        <w:t>During the three months ended March 31, 2025, our directors or officers, as defined in Rule 16a-1(f) under the Securities Exchange Act of 1934, as amended, adopted or terminated the “Rule 10b5-1 trading arrangements” as defined in Item 408 of Regulation S-K, set forth in the table below:</w:t>
      </w:r>
    </w:p>
    <w:tbl>
      <w:tblPr>
        <w:tblLayout w:type="fixed"/>
        <w:tblInd w:w="73"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Type of Trading</w:t>
            </w: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Arrangement</w:t>
            </w: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Shares of Common Stock</w:t>
            </w:r>
          </w:p>
        </w:tc>
        <w:tc>
          <w:tcPr>
            <w:tcW w:w="0" w:type="dxa"/>
            <w:vAlign w:val="bottom"/>
          </w:tcPr>
          <w:p>
            <w:pPr>
              <w:spacing w:after="0"/>
              <w:rPr>
                <w:sz w:val="1"/>
                <w:szCs w:val="1"/>
                <w:color w:val="auto"/>
              </w:rPr>
            </w:pPr>
          </w:p>
        </w:tc>
      </w:tr>
      <w:tr>
        <w:trPr>
          <w:trHeight w:val="144"/>
        </w:trPr>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660" w:type="dxa"/>
            <w:vAlign w:val="bottom"/>
            <w:gridSpan w:val="2"/>
          </w:tcPr>
          <w:p>
            <w:pPr>
              <w:ind w:left="1200"/>
              <w:spacing w:after="0"/>
              <w:rPr>
                <w:sz w:val="20"/>
                <w:szCs w:val="20"/>
                <w:color w:val="auto"/>
              </w:rPr>
            </w:pPr>
            <w:r>
              <w:rPr>
                <w:rFonts w:ascii="Times New Roman" w:cs="Times New Roman" w:eastAsia="Times New Roman" w:hAnsi="Times New Roman"/>
                <w:sz w:val="14"/>
                <w:szCs w:val="14"/>
                <w:b w:val="1"/>
                <w:bCs w:val="1"/>
                <w:color w:val="auto"/>
              </w:rPr>
              <w:t>Name and Position</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Action</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Rule 10b5-1*</w:t>
            </w: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 be Sold</w:t>
            </w:r>
          </w:p>
        </w:tc>
        <w:tc>
          <w:tcPr>
            <w:tcW w:w="0" w:type="dxa"/>
            <w:vAlign w:val="bottom"/>
          </w:tcPr>
          <w:p>
            <w:pPr>
              <w:spacing w:after="0"/>
              <w:rPr>
                <w:sz w:val="1"/>
                <w:szCs w:val="1"/>
                <w:color w:val="auto"/>
              </w:rPr>
            </w:pPr>
          </w:p>
        </w:tc>
      </w:tr>
      <w:tr>
        <w:trPr>
          <w:trHeight w:val="23"/>
        </w:trPr>
        <w:tc>
          <w:tcPr>
            <w:tcW w:w="3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5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Darcy H. Davenport</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79"/>
              <w:spacing w:after="0" w:line="189" w:lineRule="exact"/>
              <w:rPr>
                <w:sz w:val="20"/>
                <w:szCs w:val="20"/>
                <w:color w:val="auto"/>
              </w:rPr>
            </w:pPr>
            <w:r>
              <w:rPr>
                <w:rFonts w:ascii="Times New Roman" w:cs="Times New Roman" w:eastAsia="Times New Roman" w:hAnsi="Times New Roman"/>
                <w:sz w:val="18"/>
                <w:szCs w:val="18"/>
                <w:color w:val="auto"/>
              </w:rPr>
              <w:t>2/26/2025</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Adoption</w:t>
            </w: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1"/>
              </w:rPr>
              <w:t>X</w:t>
            </w: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299"/>
              <w:spacing w:after="0" w:line="189" w:lineRule="exact"/>
              <w:rPr>
                <w:sz w:val="20"/>
                <w:szCs w:val="20"/>
                <w:color w:val="auto"/>
              </w:rPr>
            </w:pPr>
            <w:r>
              <w:rPr>
                <w:rFonts w:ascii="Times New Roman" w:cs="Times New Roman" w:eastAsia="Times New Roman" w:hAnsi="Times New Roman"/>
                <w:sz w:val="18"/>
                <w:szCs w:val="18"/>
                <w:color w:val="auto"/>
              </w:rPr>
              <w:t>2/26/2026</w:t>
            </w:r>
          </w:p>
        </w:tc>
        <w:tc>
          <w:tcPr>
            <w:tcW w:w="120" w:type="dxa"/>
            <w:vAlign w:val="bottom"/>
            <w:shd w:val="clear" w:color="auto" w:fill="CCEEFF"/>
          </w:tcPr>
          <w:p>
            <w:pPr>
              <w:spacing w:after="0"/>
              <w:rPr>
                <w:sz w:val="16"/>
                <w:szCs w:val="16"/>
                <w:color w:val="auto"/>
              </w:rPr>
            </w:pPr>
          </w:p>
        </w:tc>
        <w:tc>
          <w:tcPr>
            <w:tcW w:w="20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Up to 59,200</w:t>
            </w:r>
          </w:p>
        </w:tc>
        <w:tc>
          <w:tcPr>
            <w:tcW w:w="0" w:type="dxa"/>
            <w:vAlign w:val="bottom"/>
          </w:tcPr>
          <w:p>
            <w:pPr>
              <w:spacing w:after="0"/>
              <w:rPr>
                <w:sz w:val="1"/>
                <w:szCs w:val="1"/>
                <w:color w:val="auto"/>
              </w:rPr>
            </w:pPr>
          </w:p>
        </w:tc>
      </w:tr>
      <w:tr>
        <w:trPr>
          <w:trHeight w:val="236"/>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133" w:hanging="133"/>
        <w:spacing w:after="0"/>
        <w:tabs>
          <w:tab w:leader="none" w:pos="13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instruction, or written plan intended to satisfy the affirmative defense conditions of Rule 10b5-1(c) under the Exchange Act.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11" w:lineRule="exact"/>
        <w:rPr>
          <w:rFonts w:ascii="Times New Roman" w:cs="Times New Roman" w:eastAsia="Times New Roman" w:hAnsi="Times New Roman"/>
          <w:sz w:val="18"/>
          <w:szCs w:val="18"/>
          <w:color w:val="auto"/>
        </w:rPr>
      </w:pPr>
    </w:p>
    <w:p>
      <w:pPr>
        <w:ind w:left="561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13"/>
          </w:cols>
          <w:pgMar w:left="247"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either provided with this Form 10-Q or are incorporated herein by reference.</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1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9040" w:type="dxa"/>
            <w:vAlign w:val="bottom"/>
            <w:gridSpan w:val="21"/>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95"/>
        </w:trPr>
        <w:tc>
          <w:tcPr>
            <w:tcW w:w="1300" w:type="dxa"/>
            <w:vAlign w:val="bottom"/>
          </w:tcPr>
          <w:p>
            <w:pPr>
              <w:jc w:val="center"/>
              <w:ind w:right="131"/>
              <w:spacing w:after="0" w:line="195" w:lineRule="exact"/>
              <w:rPr>
                <w:sz w:val="20"/>
                <w:szCs w:val="20"/>
                <w:color w:val="auto"/>
              </w:rPr>
            </w:pPr>
            <w:r>
              <w:rPr>
                <w:rFonts w:ascii="Times New Roman" w:cs="Times New Roman" w:eastAsia="Times New Roman" w:hAnsi="Times New Roman"/>
                <w:sz w:val="18"/>
                <w:szCs w:val="18"/>
                <w:color w:val="auto"/>
              </w:rPr>
              <w:t>*2.1</w:t>
            </w:r>
          </w:p>
        </w:tc>
        <w:tc>
          <w:tcPr>
            <w:tcW w:w="9040" w:type="dxa"/>
            <w:vAlign w:val="bottom"/>
            <w:gridSpan w:val="21"/>
          </w:tcPr>
          <w:p>
            <w:pPr>
              <w:spacing w:after="0" w:line="195" w:lineRule="exact"/>
              <w:rPr>
                <w:rFonts w:ascii="Times New Roman" w:cs="Times New Roman" w:eastAsia="Times New Roman" w:hAnsi="Times New Roman"/>
                <w:sz w:val="18"/>
                <w:szCs w:val="18"/>
                <w:color w:val="0000FF"/>
              </w:rPr>
            </w:pPr>
            <w:hyperlink r:id="rId38">
              <w:r>
                <w:rPr>
                  <w:rFonts w:ascii="Times New Roman" w:cs="Times New Roman" w:eastAsia="Times New Roman" w:hAnsi="Times New Roman"/>
                  <w:sz w:val="18"/>
                  <w:szCs w:val="18"/>
                  <w:color w:val="0000FF"/>
                </w:rPr>
                <w:t>Transaction Agreement and Plan of Merger, dated as of October 26, 2021, by and among Post Holdings, Inc., BellRing</w:t>
              </w:r>
            </w:hyperlink>
          </w:p>
        </w:tc>
      </w:tr>
      <w:tr>
        <w:trPr>
          <w:trHeight w:val="156"/>
        </w:trPr>
        <w:tc>
          <w:tcPr>
            <w:tcW w:w="1300" w:type="dxa"/>
            <w:vAlign w:val="bottom"/>
          </w:tcPr>
          <w:p>
            <w:pPr>
              <w:spacing w:after="0"/>
              <w:rPr>
                <w:sz w:val="13"/>
                <w:szCs w:val="13"/>
                <w:color w:val="auto"/>
              </w:rPr>
            </w:pPr>
          </w:p>
        </w:tc>
        <w:tc>
          <w:tcPr>
            <w:tcW w:w="896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38">
              <w:r>
                <w:rPr>
                  <w:rFonts w:ascii="Times New Roman" w:cs="Times New Roman" w:eastAsia="Times New Roman" w:hAnsi="Times New Roman"/>
                  <w:sz w:val="18"/>
                  <w:szCs w:val="18"/>
                  <w:color w:val="0000FF"/>
                </w:rPr>
                <w:t>Brands, Inc., BellRing Distribution, LLC and BellRing Merger Sub Corporation (Incorporated by reference to Exhibit 2.1</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300" w:type="dxa"/>
            <w:vAlign w:val="bottom"/>
          </w:tcPr>
          <w:p>
            <w:pPr>
              <w:spacing w:after="0"/>
              <w:rPr>
                <w:sz w:val="14"/>
                <w:szCs w:val="14"/>
                <w:color w:val="auto"/>
              </w:rPr>
            </w:pPr>
          </w:p>
        </w:tc>
        <w:tc>
          <w:tcPr>
            <w:tcW w:w="9000" w:type="dxa"/>
            <w:vAlign w:val="bottom"/>
            <w:gridSpan w:val="19"/>
          </w:tcPr>
          <w:p>
            <w:pPr>
              <w:spacing w:after="0" w:line="169" w:lineRule="exact"/>
              <w:rPr>
                <w:rFonts w:ascii="Times New Roman" w:cs="Times New Roman" w:eastAsia="Times New Roman" w:hAnsi="Times New Roman"/>
                <w:sz w:val="18"/>
                <w:szCs w:val="18"/>
                <w:color w:val="0000FF"/>
              </w:rPr>
            </w:pPr>
            <w:hyperlink r:id="rId38">
              <w:r>
                <w:rPr>
                  <w:rFonts w:ascii="Times New Roman" w:cs="Times New Roman" w:eastAsia="Times New Roman" w:hAnsi="Times New Roman"/>
                  <w:sz w:val="18"/>
                  <w:szCs w:val="18"/>
                  <w:color w:val="0000FF"/>
                </w:rPr>
                <w:t>to the Company’s Form 8-K filed on October 27, 2021)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30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30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7"/>
              </w:rPr>
              <w:t>2.2</w:t>
            </w:r>
          </w:p>
        </w:tc>
        <w:tc>
          <w:tcPr>
            <w:tcW w:w="9040" w:type="dxa"/>
            <w:vAlign w:val="bottom"/>
            <w:gridSpan w:val="21"/>
          </w:tcPr>
          <w:p>
            <w:pPr>
              <w:spacing w:after="0"/>
              <w:rPr>
                <w:rFonts w:ascii="Times New Roman" w:cs="Times New Roman" w:eastAsia="Times New Roman" w:hAnsi="Times New Roman"/>
                <w:sz w:val="18"/>
                <w:szCs w:val="18"/>
                <w:color w:val="0000FF"/>
              </w:rPr>
            </w:pPr>
            <w:hyperlink r:id="rId39">
              <w:r>
                <w:rPr>
                  <w:rFonts w:ascii="Times New Roman" w:cs="Times New Roman" w:eastAsia="Times New Roman" w:hAnsi="Times New Roman"/>
                  <w:sz w:val="18"/>
                  <w:szCs w:val="18"/>
                  <w:color w:val="0000FF"/>
                </w:rPr>
                <w:t>Amendment No. 1 to Transaction Agreement and Plan of Merger, dated as of February 28, 2022, by and among Post</w:t>
              </w:r>
            </w:hyperlink>
          </w:p>
        </w:tc>
      </w:tr>
      <w:tr>
        <w:trPr>
          <w:trHeight w:val="156"/>
        </w:trPr>
        <w:tc>
          <w:tcPr>
            <w:tcW w:w="1300" w:type="dxa"/>
            <w:vAlign w:val="bottom"/>
          </w:tcPr>
          <w:p>
            <w:pPr>
              <w:spacing w:after="0"/>
              <w:rPr>
                <w:sz w:val="13"/>
                <w:szCs w:val="13"/>
                <w:color w:val="auto"/>
              </w:rPr>
            </w:pPr>
          </w:p>
        </w:tc>
        <w:tc>
          <w:tcPr>
            <w:tcW w:w="898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39">
              <w:r>
                <w:rPr>
                  <w:rFonts w:ascii="Times New Roman" w:cs="Times New Roman" w:eastAsia="Times New Roman" w:hAnsi="Times New Roman"/>
                  <w:sz w:val="18"/>
                  <w:szCs w:val="18"/>
                  <w:color w:val="0000FF"/>
                </w:rPr>
                <w:t>Holdings, Inc., BellRing Brands, Inc., BellRing Distribution, LLC and BellRing Merger Sub Corporation (Incorporated by</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300" w:type="dxa"/>
            <w:vAlign w:val="bottom"/>
          </w:tcPr>
          <w:p>
            <w:pPr>
              <w:spacing w:after="0"/>
              <w:rPr>
                <w:sz w:val="14"/>
                <w:szCs w:val="14"/>
                <w:color w:val="auto"/>
              </w:rPr>
            </w:pPr>
          </w:p>
        </w:tc>
        <w:tc>
          <w:tcPr>
            <w:tcW w:w="8940" w:type="dxa"/>
            <w:vAlign w:val="bottom"/>
            <w:tcBorders>
              <w:top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39">
              <w:r>
                <w:rPr>
                  <w:rFonts w:ascii="Times New Roman" w:cs="Times New Roman" w:eastAsia="Times New Roman" w:hAnsi="Times New Roman"/>
                  <w:sz w:val="18"/>
                  <w:szCs w:val="18"/>
                  <w:color w:val="0000FF"/>
                </w:rPr>
                <w:t>reference to Exhibit 2.1 to the Company’s Form 8-K filed on February 28, 2022)</w:t>
              </w:r>
            </w:hyperlink>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30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30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7"/>
              </w:rPr>
              <w:t>3.1</w:t>
            </w:r>
          </w:p>
        </w:tc>
        <w:tc>
          <w:tcPr>
            <w:tcW w:w="9040" w:type="dxa"/>
            <w:vAlign w:val="bottom"/>
            <w:gridSpan w:val="21"/>
          </w:tcPr>
          <w:p>
            <w:pPr>
              <w:spacing w:after="0"/>
              <w:rPr>
                <w:rFonts w:ascii="Times New Roman" w:cs="Times New Roman" w:eastAsia="Times New Roman" w:hAnsi="Times New Roman"/>
                <w:sz w:val="18"/>
                <w:szCs w:val="18"/>
                <w:color w:val="0000FF"/>
              </w:rPr>
            </w:pPr>
            <w:hyperlink r:id="rId40">
              <w:r>
                <w:rPr>
                  <w:rFonts w:ascii="Times New Roman" w:cs="Times New Roman" w:eastAsia="Times New Roman" w:hAnsi="Times New Roman"/>
                  <w:sz w:val="18"/>
                  <w:szCs w:val="18"/>
                  <w:color w:val="0000FF"/>
                </w:rPr>
                <w:t>BellRing Brands, Inc. Restated Certificate of Incorporation (Incorporated by reference to Exhibit 3.1 to the Company’s</w:t>
              </w:r>
            </w:hyperlink>
          </w:p>
        </w:tc>
      </w:tr>
      <w:tr>
        <w:trPr>
          <w:trHeight w:val="155"/>
        </w:trPr>
        <w:tc>
          <w:tcPr>
            <w:tcW w:w="1300" w:type="dxa"/>
            <w:vAlign w:val="bottom"/>
          </w:tcPr>
          <w:p>
            <w:pPr>
              <w:spacing w:after="0"/>
              <w:rPr>
                <w:sz w:val="13"/>
                <w:szCs w:val="13"/>
                <w:color w:val="auto"/>
              </w:rPr>
            </w:pPr>
          </w:p>
        </w:tc>
        <w:tc>
          <w:tcPr>
            <w:tcW w:w="266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40">
              <w:r>
                <w:rPr>
                  <w:rFonts w:ascii="Times New Roman" w:cs="Times New Roman" w:eastAsia="Times New Roman" w:hAnsi="Times New Roman"/>
                  <w:sz w:val="18"/>
                  <w:szCs w:val="18"/>
                  <w:color w:val="0000FF"/>
                  <w:w w:val="99"/>
                </w:rPr>
                <w:t>Form 8-K filed on January 31, 2025)</w:t>
              </w:r>
            </w:hyperlink>
          </w:p>
        </w:tc>
        <w:tc>
          <w:tcPr>
            <w:tcW w:w="5900" w:type="dxa"/>
            <w:vAlign w:val="bottom"/>
            <w:tcBorders>
              <w:top w:val="single" w:sz="8" w:color="0000FF"/>
            </w:tcBorders>
            <w:gridSpan w:val="6"/>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30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7"/>
              </w:rPr>
              <w:t>3.2</w:t>
            </w:r>
          </w:p>
        </w:tc>
        <w:tc>
          <w:tcPr>
            <w:tcW w:w="9040" w:type="dxa"/>
            <w:vAlign w:val="bottom"/>
            <w:gridSpan w:val="21"/>
          </w:tcPr>
          <w:p>
            <w:pPr>
              <w:spacing w:after="0"/>
              <w:rPr>
                <w:rFonts w:ascii="Times New Roman" w:cs="Times New Roman" w:eastAsia="Times New Roman" w:hAnsi="Times New Roman"/>
                <w:sz w:val="18"/>
                <w:szCs w:val="18"/>
                <w:color w:val="0000FF"/>
              </w:rPr>
            </w:pPr>
            <w:hyperlink r:id="rId41">
              <w:r>
                <w:rPr>
                  <w:rFonts w:ascii="Times New Roman" w:cs="Times New Roman" w:eastAsia="Times New Roman" w:hAnsi="Times New Roman"/>
                  <w:sz w:val="18"/>
                  <w:szCs w:val="18"/>
                  <w:color w:val="0000FF"/>
                </w:rPr>
                <w:t>BellRing Brands, Inc. amended and restated Bylaws (Incorporated by reference to Exhibit 3.2 to the Company’s Form 8-K</w:t>
              </w:r>
            </w:hyperlink>
          </w:p>
        </w:tc>
      </w:tr>
      <w:tr>
        <w:trPr>
          <w:trHeight w:val="156"/>
        </w:trPr>
        <w:tc>
          <w:tcPr>
            <w:tcW w:w="1300" w:type="dxa"/>
            <w:vAlign w:val="bottom"/>
          </w:tcPr>
          <w:p>
            <w:pPr>
              <w:spacing w:after="0"/>
              <w:rPr>
                <w:sz w:val="13"/>
                <w:szCs w:val="13"/>
                <w:color w:val="auto"/>
              </w:rPr>
            </w:pPr>
          </w:p>
        </w:tc>
        <w:tc>
          <w:tcPr>
            <w:tcW w:w="190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41">
              <w:r>
                <w:rPr>
                  <w:rFonts w:ascii="Times New Roman" w:cs="Times New Roman" w:eastAsia="Times New Roman" w:hAnsi="Times New Roman"/>
                  <w:sz w:val="18"/>
                  <w:szCs w:val="18"/>
                  <w:color w:val="0000FF"/>
                  <w:w w:val="99"/>
                </w:rPr>
                <w:t>filed on January 31, 2025)</w:t>
              </w:r>
            </w:hyperlink>
          </w:p>
        </w:tc>
        <w:tc>
          <w:tcPr>
            <w:tcW w:w="694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30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rPr>
              <w:t>*4.1</w:t>
            </w:r>
          </w:p>
        </w:tc>
        <w:tc>
          <w:tcPr>
            <w:tcW w:w="9040" w:type="dxa"/>
            <w:vAlign w:val="bottom"/>
            <w:gridSpan w:val="21"/>
          </w:tcPr>
          <w:p>
            <w:pPr>
              <w:spacing w:after="0"/>
              <w:rPr>
                <w:rFonts w:ascii="Times New Roman" w:cs="Times New Roman" w:eastAsia="Times New Roman" w:hAnsi="Times New Roman"/>
                <w:sz w:val="18"/>
                <w:szCs w:val="18"/>
                <w:color w:val="0000FF"/>
              </w:rPr>
            </w:pPr>
            <w:hyperlink r:id="rId42">
              <w:r>
                <w:rPr>
                  <w:rFonts w:ascii="Times New Roman" w:cs="Times New Roman" w:eastAsia="Times New Roman" w:hAnsi="Times New Roman"/>
                  <w:sz w:val="18"/>
                  <w:szCs w:val="18"/>
                  <w:color w:val="0000FF"/>
                </w:rPr>
                <w:t>Indenture, dated March 10, 2022, by and among BellRing Brands, Inc. and Computershare Trust Company, N.A., as trustee</w:t>
              </w:r>
            </w:hyperlink>
          </w:p>
        </w:tc>
      </w:tr>
      <w:tr>
        <w:trPr>
          <w:trHeight w:val="156"/>
        </w:trPr>
        <w:tc>
          <w:tcPr>
            <w:tcW w:w="1300" w:type="dxa"/>
            <w:vAlign w:val="bottom"/>
          </w:tcPr>
          <w:p>
            <w:pPr>
              <w:spacing w:after="0"/>
              <w:rPr>
                <w:sz w:val="13"/>
                <w:szCs w:val="13"/>
                <w:color w:val="auto"/>
              </w:rPr>
            </w:pPr>
          </w:p>
        </w:tc>
        <w:tc>
          <w:tcPr>
            <w:tcW w:w="890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42">
              <w:r>
                <w:rPr>
                  <w:rFonts w:ascii="Times New Roman" w:cs="Times New Roman" w:eastAsia="Times New Roman" w:hAnsi="Times New Roman"/>
                  <w:sz w:val="18"/>
                  <w:szCs w:val="18"/>
                  <w:color w:val="0000FF"/>
                </w:rPr>
                <w:t>(Incorporated by reference to Exhibit 4.1 to the Company’s Second Form 8-K filed on March 10, 2022)</w:t>
              </w:r>
            </w:hyperlink>
          </w:p>
        </w:tc>
        <w:tc>
          <w:tcPr>
            <w:tcW w:w="12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180" w:type="dxa"/>
            <w:vAlign w:val="bottom"/>
            <w:gridSpan w:val="2"/>
            <w:shd w:val="clear" w:color="auto" w:fill="0000FF"/>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30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7"/>
              </w:rPr>
              <w:t>4.2</w:t>
            </w:r>
          </w:p>
        </w:tc>
        <w:tc>
          <w:tcPr>
            <w:tcW w:w="9040" w:type="dxa"/>
            <w:vAlign w:val="bottom"/>
            <w:gridSpan w:val="21"/>
          </w:tcPr>
          <w:p>
            <w:pPr>
              <w:spacing w:after="0"/>
              <w:rPr>
                <w:rFonts w:ascii="Times New Roman" w:cs="Times New Roman" w:eastAsia="Times New Roman" w:hAnsi="Times New Roman"/>
                <w:sz w:val="18"/>
                <w:szCs w:val="18"/>
                <w:color w:val="0000FF"/>
              </w:rPr>
            </w:pPr>
            <w:hyperlink r:id="rId42">
              <w:r>
                <w:rPr>
                  <w:rFonts w:ascii="Times New Roman" w:cs="Times New Roman" w:eastAsia="Times New Roman" w:hAnsi="Times New Roman"/>
                  <w:sz w:val="18"/>
                  <w:szCs w:val="18"/>
                  <w:color w:val="0000FF"/>
                </w:rPr>
                <w:t>Form of Note (Incorporated by reference to Exhibit 4.2 to the Company’s Second Form 8-K filed on March 10, 2022, which</w:t>
              </w:r>
            </w:hyperlink>
          </w:p>
        </w:tc>
      </w:tr>
      <w:tr>
        <w:trPr>
          <w:trHeight w:val="156"/>
        </w:trPr>
        <w:tc>
          <w:tcPr>
            <w:tcW w:w="1300" w:type="dxa"/>
            <w:vAlign w:val="bottom"/>
          </w:tcPr>
          <w:p>
            <w:pPr>
              <w:spacing w:after="0"/>
              <w:rPr>
                <w:sz w:val="13"/>
                <w:szCs w:val="13"/>
                <w:color w:val="auto"/>
              </w:rPr>
            </w:pPr>
          </w:p>
        </w:tc>
        <w:tc>
          <w:tcPr>
            <w:tcW w:w="386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42">
              <w:r>
                <w:rPr>
                  <w:rFonts w:ascii="Times New Roman" w:cs="Times New Roman" w:eastAsia="Times New Roman" w:hAnsi="Times New Roman"/>
                  <w:sz w:val="18"/>
                  <w:szCs w:val="18"/>
                  <w:color w:val="0000FF"/>
                  <w:w w:val="99"/>
                </w:rPr>
                <w:t>Exhibit 4.2 is referenced in Exhibit 4.1 to such filing)</w:t>
              </w:r>
            </w:hyperlink>
          </w:p>
        </w:tc>
        <w:tc>
          <w:tcPr>
            <w:tcW w:w="516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30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rPr>
              <w:t>31.1</w:t>
            </w:r>
          </w:p>
        </w:tc>
        <w:tc>
          <w:tcPr>
            <w:tcW w:w="90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Certification of Darcy H. Davenport pursuant to Rule 13a-14(a), as adopted pursuant to Section 302 of the Sarbanes-Oxley</w:t>
            </w:r>
          </w:p>
        </w:tc>
      </w:tr>
      <w:tr>
        <w:trPr>
          <w:trHeight w:val="156"/>
        </w:trPr>
        <w:tc>
          <w:tcPr>
            <w:tcW w:w="1300" w:type="dxa"/>
            <w:vAlign w:val="bottom"/>
          </w:tcPr>
          <w:p>
            <w:pPr>
              <w:spacing w:after="0"/>
              <w:rPr>
                <w:sz w:val="13"/>
                <w:szCs w:val="13"/>
                <w:color w:val="auto"/>
              </w:rPr>
            </w:pPr>
          </w:p>
        </w:tc>
        <w:tc>
          <w:tcPr>
            <w:tcW w:w="230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9"/>
              </w:rPr>
              <w:t>Act of 2002, dated May 6, 2025</w:t>
            </w:r>
          </w:p>
        </w:tc>
        <w:tc>
          <w:tcPr>
            <w:tcW w:w="656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7"/>
          </w:tcPr>
          <w:p>
            <w:pPr>
              <w:spacing w:after="0"/>
              <w:rPr>
                <w:sz w:val="13"/>
                <w:szCs w:val="13"/>
                <w:color w:val="auto"/>
              </w:rPr>
            </w:pPr>
          </w:p>
        </w:tc>
      </w:tr>
      <w:tr>
        <w:trPr>
          <w:trHeight w:val="223"/>
        </w:trPr>
        <w:tc>
          <w:tcPr>
            <w:tcW w:w="130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rPr>
              <w:t>31.2</w:t>
            </w:r>
          </w:p>
        </w:tc>
        <w:tc>
          <w:tcPr>
            <w:tcW w:w="90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Certification of Paul A. Rode pursuant to Rule 13a-14(a), as adopted pursuant to Section 302 of the Sarbanes-Oxley Act of</w:t>
            </w:r>
          </w:p>
        </w:tc>
      </w:tr>
      <w:tr>
        <w:trPr>
          <w:trHeight w:val="155"/>
        </w:trPr>
        <w:tc>
          <w:tcPr>
            <w:tcW w:w="1300" w:type="dxa"/>
            <w:vAlign w:val="bottom"/>
          </w:tcPr>
          <w:p>
            <w:pPr>
              <w:spacing w:after="0"/>
              <w:rPr>
                <w:sz w:val="13"/>
                <w:szCs w:val="13"/>
                <w:color w:val="auto"/>
              </w:rPr>
            </w:pPr>
          </w:p>
        </w:tc>
        <w:tc>
          <w:tcPr>
            <w:tcW w:w="8880" w:type="dxa"/>
            <w:vAlign w:val="bottom"/>
            <w:tcBorders>
              <w:top w:val="single" w:sz="8" w:color="0000FF"/>
            </w:tcBorders>
            <w:gridSpan w:val="14"/>
          </w:tcPr>
          <w:p>
            <w:pPr>
              <w:spacing w:after="0" w:line="156" w:lineRule="exact"/>
              <w:rPr>
                <w:sz w:val="20"/>
                <w:szCs w:val="20"/>
                <w:color w:val="auto"/>
              </w:rPr>
            </w:pPr>
            <w:r>
              <w:rPr>
                <w:rFonts w:ascii="Times New Roman" w:cs="Times New Roman" w:eastAsia="Times New Roman" w:hAnsi="Times New Roman"/>
                <w:sz w:val="18"/>
                <w:szCs w:val="18"/>
                <w:color w:val="0000FF"/>
              </w:rPr>
              <w:t>2002, dated May 6, 2025</w:t>
            </w:r>
          </w:p>
        </w:tc>
        <w:tc>
          <w:tcPr>
            <w:tcW w:w="160" w:type="dxa"/>
            <w:vAlign w:val="bottom"/>
            <w:gridSpan w:val="7"/>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460" w:type="dxa"/>
            <w:vAlign w:val="bottom"/>
            <w:gridSpan w:val="6"/>
          </w:tcPr>
          <w:p>
            <w:pPr>
              <w:spacing w:after="0" w:line="20" w:lineRule="exact"/>
              <w:rPr>
                <w:sz w:val="1"/>
                <w:szCs w:val="1"/>
                <w:color w:val="auto"/>
              </w:rPr>
            </w:pPr>
          </w:p>
        </w:tc>
        <w:tc>
          <w:tcPr>
            <w:tcW w:w="4560" w:type="dxa"/>
            <w:vAlign w:val="bottom"/>
            <w:gridSpan w:val="4"/>
          </w:tcPr>
          <w:p>
            <w:pPr>
              <w:spacing w:after="0" w:line="20" w:lineRule="exact"/>
              <w:rPr>
                <w:sz w:val="1"/>
                <w:szCs w:val="1"/>
                <w:color w:val="auto"/>
              </w:rPr>
            </w:pPr>
          </w:p>
        </w:tc>
        <w:tc>
          <w:tcPr>
            <w:tcW w:w="220" w:type="dxa"/>
            <w:vAlign w:val="bottom"/>
            <w:gridSpan w:val="10"/>
          </w:tcPr>
          <w:p>
            <w:pPr>
              <w:spacing w:after="0" w:line="20" w:lineRule="exact"/>
              <w:rPr>
                <w:sz w:val="1"/>
                <w:szCs w:val="1"/>
                <w:color w:val="auto"/>
              </w:rPr>
            </w:pPr>
          </w:p>
        </w:tc>
      </w:tr>
      <w:tr>
        <w:trPr>
          <w:trHeight w:val="223"/>
        </w:trPr>
        <w:tc>
          <w:tcPr>
            <w:tcW w:w="130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rPr>
              <w:t>32.1</w:t>
            </w:r>
          </w:p>
        </w:tc>
        <w:tc>
          <w:tcPr>
            <w:tcW w:w="90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Certification of Darcy H. Davenport and Paul A. Rode, pursuant to 18 U.S.C. Section 1350 as adopted pursuant to Section</w:t>
            </w:r>
          </w:p>
        </w:tc>
      </w:tr>
      <w:tr>
        <w:trPr>
          <w:trHeight w:val="156"/>
        </w:trPr>
        <w:tc>
          <w:tcPr>
            <w:tcW w:w="1300" w:type="dxa"/>
            <w:vAlign w:val="bottom"/>
          </w:tcPr>
          <w:p>
            <w:pPr>
              <w:spacing w:after="0"/>
              <w:rPr>
                <w:sz w:val="13"/>
                <w:szCs w:val="13"/>
                <w:color w:val="auto"/>
              </w:rPr>
            </w:pPr>
          </w:p>
        </w:tc>
        <w:tc>
          <w:tcPr>
            <w:tcW w:w="8820" w:type="dxa"/>
            <w:vAlign w:val="bottom"/>
            <w:tcBorders>
              <w:top w:val="single" w:sz="8" w:color="0000FF"/>
            </w:tcBorders>
            <w:gridSpan w:val="11"/>
          </w:tcPr>
          <w:p>
            <w:pPr>
              <w:spacing w:after="0" w:line="156" w:lineRule="exact"/>
              <w:rPr>
                <w:sz w:val="20"/>
                <w:szCs w:val="20"/>
                <w:color w:val="auto"/>
              </w:rPr>
            </w:pPr>
            <w:r>
              <w:rPr>
                <w:rFonts w:ascii="Times New Roman" w:cs="Times New Roman" w:eastAsia="Times New Roman" w:hAnsi="Times New Roman"/>
                <w:sz w:val="18"/>
                <w:szCs w:val="18"/>
                <w:color w:val="0000FF"/>
              </w:rPr>
              <w:t>906 of the Sarbanes-Oxley Act of 2002, dated May 6, 2025</w:t>
            </w:r>
          </w:p>
        </w:tc>
        <w:tc>
          <w:tcPr>
            <w:tcW w:w="220" w:type="dxa"/>
            <w:vAlign w:val="bottom"/>
            <w:gridSpan w:val="10"/>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6" w:lineRule="exact"/>
        <w:rPr>
          <w:sz w:val="20"/>
          <w:szCs w:val="20"/>
          <w:color w:val="auto"/>
        </w:rPr>
      </w:pPr>
    </w:p>
    <w:p>
      <w:pPr>
        <w:ind w:left="1320" w:right="980" w:hanging="900"/>
        <w:spacing w:after="0" w:line="231" w:lineRule="auto"/>
        <w:tabs>
          <w:tab w:leader="none" w:pos="1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Interactive Data File (Form 10-Q for the quarterly period ended March 31, 2025 filed in iXBRL (Inline eXtensible Business Reporting Language)). The financial information contained in the iXBRL-related documents is “unaudited” and “unreviewed.”</w:t>
      </w:r>
    </w:p>
    <w:p>
      <w:pPr>
        <w:spacing w:after="0" w:line="1" w:lineRule="exact"/>
        <w:rPr>
          <w:sz w:val="20"/>
          <w:szCs w:val="20"/>
          <w:color w:val="auto"/>
        </w:rPr>
      </w:pPr>
    </w:p>
    <w:p>
      <w:pPr>
        <w:ind w:left="1320" w:right="980" w:hanging="900"/>
        <w:spacing w:after="0" w:line="234" w:lineRule="auto"/>
        <w:tabs>
          <w:tab w:leader="none" w:pos="13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Form 10-Q for the quarterly period ended March 31, 2025, formatted in iXBRL (Inline eXtensible Business Reporting Language) and contained in Exhibit 101</w:t>
      </w:r>
    </w:p>
    <w:p>
      <w:pPr>
        <w:spacing w:after="0" w:line="239" w:lineRule="exact"/>
        <w:rPr>
          <w:rFonts w:ascii="Times New Roman" w:cs="Times New Roman" w:eastAsia="Times New Roman" w:hAnsi="Times New Roman"/>
          <w:sz w:val="18"/>
          <w:szCs w:val="18"/>
          <w:color w:val="auto"/>
        </w:rPr>
      </w:pPr>
    </w:p>
    <w:p>
      <w:pPr>
        <w:ind w:left="1060" w:right="1200" w:hanging="1039"/>
        <w:spacing w:after="0" w:line="22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and schedules have been omitted pursuant to Item 601(a)(5) of Regulation S-K. The Company agrees to furnish supplementally to the Securities and Exchange Commission (the “SEC”) a copy of any omitted exhibit or schedule upon request by the SEC.</w:t>
      </w:r>
    </w:p>
    <w:p>
      <w:pPr>
        <w:spacing w:after="0" w:line="9" w:lineRule="exact"/>
        <w:rPr>
          <w:sz w:val="20"/>
          <w:szCs w:val="20"/>
          <w:color w:val="auto"/>
        </w:rPr>
      </w:pPr>
    </w:p>
    <w:p>
      <w:pPr>
        <w:ind w:left="1060" w:right="1200" w:hanging="1034"/>
        <w:spacing w:after="0" w:line="237" w:lineRule="auto"/>
        <w:tabs>
          <w:tab w:leader="none" w:pos="10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document that constitute confidential information have been redacted in accordance with Regulation S-K, Item 601(b)(10).</w:t>
      </w:r>
    </w:p>
    <w:p>
      <w:pPr>
        <w:spacing w:after="0" w:line="18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Certain agreements and other documents filed as exhibits to this Quarterly Report on Form 10-Q contain representations and warranties that the parties thereto made to each other. These representations and warranties have been made solely for the benefit of the other parties to such agreements and may have been qualified by certain information that has been disclosed to the other parties to such agreements and other documents and that may not be reflected in such agreements and other documents. In addition, these representations and warranties may be intended as a way of allocating risks among parties if the statements contained therein prove to be incorrect, rather than as actual statements of fact. Accordingly, there can be no reliance on any such representations and warranties as characterizations of the actual state of facts. Moreover, information concerning the subject matter of any such representations and warranties may have changed since the date of such agreements and other documents.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324"/>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BellRing Brands, Inc. has duly caused this report to be signed on its behalf by the undersigned thereunto duly authorized.</w:t>
      </w:r>
    </w:p>
    <w:p>
      <w:pPr>
        <w:spacing w:after="0" w:line="2"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BELLRING BRANDS, INC.</w:t>
      </w:r>
    </w:p>
    <w:p>
      <w:pPr>
        <w:spacing w:after="0" w:line="27" w:lineRule="exact"/>
        <w:rPr>
          <w:sz w:val="20"/>
          <w:szCs w:val="20"/>
          <w:color w:val="auto"/>
        </w:rPr>
      </w:pPr>
    </w:p>
    <w:p>
      <w:pPr>
        <w:ind w:left="20"/>
        <w:spacing w:after="0"/>
        <w:tabs>
          <w:tab w:leader="none" w:pos="700" w:val="left"/>
          <w:tab w:leader="none" w:pos="6980" w:val="left"/>
          <w:tab w:leader="none" w:pos="74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Paul A. Rode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14605</wp:posOffset>
            </wp:positionV>
            <wp:extent cx="24085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11"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Paul A. Rode</w:t>
      </w:r>
    </w:p>
    <w:p>
      <w:pPr>
        <w:spacing w:after="0" w:line="11"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Chief Financial Officer and Treasurer (Principal</w:t>
      </w:r>
    </w:p>
    <w:p>
      <w:pPr>
        <w:ind w:left="7460"/>
        <w:spacing w:after="0"/>
        <w:rPr>
          <w:sz w:val="20"/>
          <w:szCs w:val="20"/>
          <w:color w:val="auto"/>
        </w:rPr>
      </w:pPr>
      <w:r>
        <w:rPr>
          <w:rFonts w:ascii="Times New Roman" w:cs="Times New Roman" w:eastAsia="Times New Roman" w:hAnsi="Times New Roman"/>
          <w:sz w:val="18"/>
          <w:szCs w:val="18"/>
          <w:color w:val="auto"/>
        </w:rPr>
        <w:t>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80"/>
          </w:cols>
          <w:pgMar w:left="320" w:top="121" w:right="39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Section 302 of the Sarbanes-Oxley Act of 2002</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Darcy H. Davenport, certify that:</w:t>
      </w:r>
    </w:p>
    <w:p>
      <w:pPr>
        <w:spacing w:after="0" w:line="252"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BellRing Brands, Inc.;</w:t>
      </w:r>
    </w:p>
    <w:p>
      <w:pPr>
        <w:spacing w:after="0" w:line="157" w:lineRule="exact"/>
        <w:rPr>
          <w:rFonts w:ascii="Times New Roman" w:cs="Times New Roman" w:eastAsia="Times New Roman" w:hAnsi="Times New Roman"/>
          <w:sz w:val="18"/>
          <w:szCs w:val="18"/>
          <w:color w:val="auto"/>
        </w:rPr>
      </w:pPr>
    </w:p>
    <w:p>
      <w:pPr>
        <w:ind w:left="340" w:right="90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8"/>
          <w:szCs w:val="18"/>
          <w:color w:val="auto"/>
        </w:rPr>
      </w:pPr>
    </w:p>
    <w:p>
      <w:pPr>
        <w:ind w:left="340" w:right="1200" w:hanging="332"/>
        <w:spacing w:after="0" w:line="312" w:lineRule="auto"/>
        <w:tabs>
          <w:tab w:leader="none" w:pos="3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2" w:lineRule="exact"/>
        <w:rPr>
          <w:rFonts w:ascii="Times New Roman" w:cs="Times New Roman" w:eastAsia="Times New Roman" w:hAnsi="Times New Roman"/>
          <w:sz w:val="17"/>
          <w:szCs w:val="17"/>
          <w:color w:val="auto"/>
        </w:rPr>
      </w:pPr>
    </w:p>
    <w:p>
      <w:pPr>
        <w:ind w:left="340" w:right="1080" w:hanging="332"/>
        <w:spacing w:after="0" w:line="276" w:lineRule="auto"/>
        <w:tabs>
          <w:tab w:leader="none" w:pos="3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139" w:lineRule="exact"/>
        <w:rPr>
          <w:rFonts w:ascii="Times New Roman" w:cs="Times New Roman" w:eastAsia="Times New Roman" w:hAnsi="Times New Roman"/>
          <w:sz w:val="17"/>
          <w:szCs w:val="17"/>
          <w:color w:val="auto"/>
        </w:rPr>
      </w:pPr>
    </w:p>
    <w:p>
      <w:pPr>
        <w:ind w:left="980" w:right="880" w:hanging="324"/>
        <w:spacing w:after="0" w:line="266" w:lineRule="auto"/>
        <w:tabs>
          <w:tab w:leader="none" w:pos="97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ind w:left="980" w:right="1180" w:hanging="324"/>
        <w:spacing w:after="0" w:line="266"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ind w:left="980" w:right="840" w:hanging="324"/>
        <w:spacing w:after="0" w:line="266" w:lineRule="auto"/>
        <w:tabs>
          <w:tab w:leader="none" w:pos="97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980" w:right="920" w:hanging="324"/>
        <w:spacing w:after="0" w:line="266"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Times New Roman" w:cs="Times New Roman" w:eastAsia="Times New Roman" w:hAnsi="Times New Roman"/>
          <w:sz w:val="18"/>
          <w:szCs w:val="18"/>
          <w:color w:val="auto"/>
        </w:rPr>
      </w:pPr>
    </w:p>
    <w:p>
      <w:pPr>
        <w:ind w:left="340" w:right="112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980" w:right="1060" w:hanging="324"/>
        <w:spacing w:after="0" w:line="282"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ind w:left="20"/>
        <w:spacing w:after="0"/>
        <w:tabs>
          <w:tab w:leader="none" w:pos="740" w:val="left"/>
          <w:tab w:leader="none" w:pos="4540" w:val="left"/>
          <w:tab w:leader="none" w:pos="49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Darcy H. Davenport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17145</wp:posOffset>
            </wp:positionV>
            <wp:extent cx="207454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1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Darcy H. Davenport</w:t>
      </w:r>
    </w:p>
    <w:p>
      <w:pPr>
        <w:spacing w:after="0" w:line="2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887"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Section 302 of the Sarbanes-Oxley Act of 2002</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A. Rode, certify that:</w:t>
      </w:r>
    </w:p>
    <w:p>
      <w:pPr>
        <w:spacing w:after="0" w:line="252"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BellRing Brands, Inc.;</w:t>
      </w:r>
    </w:p>
    <w:p>
      <w:pPr>
        <w:spacing w:after="0" w:line="157" w:lineRule="exact"/>
        <w:rPr>
          <w:rFonts w:ascii="Times New Roman" w:cs="Times New Roman" w:eastAsia="Times New Roman" w:hAnsi="Times New Roman"/>
          <w:sz w:val="18"/>
          <w:szCs w:val="18"/>
          <w:color w:val="auto"/>
        </w:rPr>
      </w:pPr>
    </w:p>
    <w:p>
      <w:pPr>
        <w:ind w:left="340" w:right="900" w:hanging="332"/>
        <w:spacing w:after="0" w:line="26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8"/>
          <w:szCs w:val="18"/>
          <w:color w:val="auto"/>
        </w:rPr>
      </w:pPr>
    </w:p>
    <w:p>
      <w:pPr>
        <w:ind w:left="340" w:right="1200" w:hanging="332"/>
        <w:spacing w:after="0" w:line="312" w:lineRule="auto"/>
        <w:tabs>
          <w:tab w:leader="none" w:pos="3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2" w:lineRule="exact"/>
        <w:rPr>
          <w:rFonts w:ascii="Times New Roman" w:cs="Times New Roman" w:eastAsia="Times New Roman" w:hAnsi="Times New Roman"/>
          <w:sz w:val="17"/>
          <w:szCs w:val="17"/>
          <w:color w:val="auto"/>
        </w:rPr>
      </w:pPr>
    </w:p>
    <w:p>
      <w:pPr>
        <w:ind w:left="340" w:right="1080" w:hanging="332"/>
        <w:spacing w:after="0" w:line="276" w:lineRule="auto"/>
        <w:tabs>
          <w:tab w:leader="none" w:pos="3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139" w:lineRule="exact"/>
        <w:rPr>
          <w:rFonts w:ascii="Times New Roman" w:cs="Times New Roman" w:eastAsia="Times New Roman" w:hAnsi="Times New Roman"/>
          <w:sz w:val="17"/>
          <w:szCs w:val="17"/>
          <w:color w:val="auto"/>
        </w:rPr>
      </w:pPr>
    </w:p>
    <w:p>
      <w:pPr>
        <w:ind w:left="980" w:right="880" w:hanging="324"/>
        <w:spacing w:after="0" w:line="266" w:lineRule="auto"/>
        <w:tabs>
          <w:tab w:leader="none" w:pos="97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ind w:left="980" w:right="1180" w:hanging="324"/>
        <w:spacing w:after="0" w:line="266"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ind w:left="980" w:right="840" w:hanging="324"/>
        <w:spacing w:after="0" w:line="266" w:lineRule="auto"/>
        <w:tabs>
          <w:tab w:leader="none" w:pos="97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980" w:right="920" w:hanging="324"/>
        <w:spacing w:after="0" w:line="266"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Times New Roman" w:cs="Times New Roman" w:eastAsia="Times New Roman" w:hAnsi="Times New Roman"/>
          <w:sz w:val="18"/>
          <w:szCs w:val="18"/>
          <w:color w:val="auto"/>
        </w:rPr>
      </w:pPr>
    </w:p>
    <w:p>
      <w:pPr>
        <w:ind w:left="340" w:right="1120" w:hanging="332"/>
        <w:spacing w:after="0" w:line="26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980" w:right="1060" w:hanging="324"/>
        <w:spacing w:after="0" w:line="282"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ind w:left="20"/>
        <w:spacing w:after="0"/>
        <w:tabs>
          <w:tab w:leader="none" w:pos="740" w:val="left"/>
          <w:tab w:leader="none" w:pos="4540" w:val="left"/>
          <w:tab w:leader="none" w:pos="49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Paul A. Rode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17145</wp:posOffset>
            </wp:positionV>
            <wp:extent cx="207454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1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Paul A. Rode</w:t>
      </w:r>
    </w:p>
    <w:p>
      <w:pPr>
        <w:spacing w:after="0" w:line="2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87"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 Pursuant to</w:t>
      </w:r>
    </w:p>
    <w:p>
      <w:pPr>
        <w:spacing w:after="0" w:line="2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u w:val="single" w:color="auto"/>
          <w:color w:val="auto"/>
        </w:rPr>
        <w:t>18 U.S.C. Section 1350, as adopted pursuant to</w:t>
      </w:r>
    </w:p>
    <w:p>
      <w:pPr>
        <w:spacing w:after="0" w:line="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u w:val="single" w:color="auto"/>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ind w:right="980"/>
        <w:spacing w:after="0" w:line="282" w:lineRule="auto"/>
        <w:rPr>
          <w:sz w:val="20"/>
          <w:szCs w:val="20"/>
          <w:color w:val="auto"/>
        </w:rPr>
      </w:pPr>
      <w:r>
        <w:rPr>
          <w:rFonts w:ascii="Times New Roman" w:cs="Times New Roman" w:eastAsia="Times New Roman" w:hAnsi="Times New Roman"/>
          <w:sz w:val="18"/>
          <w:szCs w:val="18"/>
          <w:color w:val="auto"/>
        </w:rPr>
        <w:t>The undersigned, the President and Chief Executive Officer of BellRing Brands, Inc. (the “Company”), hereby certifies that, to her knowledge on the date hereof:</w:t>
      </w:r>
    </w:p>
    <w:p>
      <w:pPr>
        <w:spacing w:after="0" w:line="189" w:lineRule="exact"/>
        <w:rPr>
          <w:sz w:val="20"/>
          <w:szCs w:val="20"/>
          <w:color w:val="auto"/>
        </w:rPr>
      </w:pPr>
    </w:p>
    <w:p>
      <w:pPr>
        <w:ind w:left="660" w:right="920" w:hanging="652"/>
        <w:spacing w:after="0" w:line="266" w:lineRule="auto"/>
        <w:tabs>
          <w:tab w:leader="none" w:pos="39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period ended March 31, 2025, filed on the date hereof with the Securities and Exchange Commission (the “Report”), fully complies with the requirements of Section 13(a) or 15(d) of the Securities Exchange Act of 1934, as amended; and</w:t>
      </w:r>
    </w:p>
    <w:p>
      <w:pPr>
        <w:spacing w:after="0" w:line="202" w:lineRule="exact"/>
        <w:rPr>
          <w:rFonts w:ascii="Times New Roman" w:cs="Times New Roman" w:eastAsia="Times New Roman" w:hAnsi="Times New Roman"/>
          <w:sz w:val="18"/>
          <w:szCs w:val="18"/>
          <w:color w:val="auto"/>
        </w:rPr>
      </w:pPr>
    </w:p>
    <w:p>
      <w:pPr>
        <w:ind w:left="660" w:right="1500" w:hanging="652"/>
        <w:spacing w:after="0" w:line="282" w:lineRule="auto"/>
        <w:tabs>
          <w:tab w:leader="none" w:pos="40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w:t>
      </w:r>
    </w:p>
    <w:p>
      <w:pPr>
        <w:spacing w:after="0" w:line="229" w:lineRule="exact"/>
        <w:rPr>
          <w:sz w:val="20"/>
          <w:szCs w:val="20"/>
          <w:color w:val="auto"/>
        </w:rPr>
      </w:pPr>
    </w:p>
    <w:p>
      <w:pPr>
        <w:ind w:left="20"/>
        <w:spacing w:after="0"/>
        <w:tabs>
          <w:tab w:leader="none" w:pos="760" w:val="left"/>
          <w:tab w:leader="none" w:pos="4440" w:val="left"/>
          <w:tab w:leader="none" w:pos="48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Darcy H. Davenport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17145</wp:posOffset>
            </wp:positionV>
            <wp:extent cx="21342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Darcy H. Davenport</w:t>
      </w:r>
    </w:p>
    <w:p>
      <w:pPr>
        <w:spacing w:after="0" w:line="2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42"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BellRing Brands, Inc. and will be retained by BellRing Brands, Inc. and furnished to the Securities and Exchange Commission or its staff upon request.</w:t>
      </w:r>
    </w:p>
    <w:p>
      <w:pPr>
        <w:sectPr>
          <w:pgSz w:w="11900" w:h="16838" w:orient="portrait"/>
          <w:cols w:equalWidth="0" w:num="1">
            <w:col w:w="11240"/>
          </w:cols>
          <w:pgMar w:left="320" w:top="887" w:right="339" w:bottom="1440" w:gutter="0" w:footer="0" w:header="0"/>
        </w:sectPr>
      </w:pPr>
    </w:p>
    <w:bookmarkStart w:id="27" w:name="page28"/>
    <w:bookmarkEnd w:id="27"/>
    <w:p>
      <w:pPr>
        <w:spacing w:after="0" w:line="180"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u w:val="single" w:color="auto"/>
          <w:color w:val="auto"/>
        </w:rPr>
        <w:t>Certification Pursuant to</w:t>
      </w:r>
    </w:p>
    <w:p>
      <w:pPr>
        <w:spacing w:after="0" w:line="2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u w:val="single" w:color="auto"/>
          <w:color w:val="auto"/>
        </w:rPr>
        <w:t>18 U.S.C. Section 1350, as adopted pursuant to</w:t>
      </w:r>
    </w:p>
    <w:p>
      <w:pPr>
        <w:spacing w:after="0" w:line="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u w:val="single" w:color="auto"/>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undersigned, the Chief Financial Officer of BellRing Brands, Inc. (the “Company”), hereby certifies that, to his knowledge on the date hereof:</w:t>
      </w:r>
    </w:p>
    <w:p>
      <w:pPr>
        <w:spacing w:after="0" w:line="189" w:lineRule="exact"/>
        <w:rPr>
          <w:sz w:val="20"/>
          <w:szCs w:val="20"/>
          <w:color w:val="auto"/>
        </w:rPr>
      </w:pPr>
    </w:p>
    <w:p>
      <w:pPr>
        <w:ind w:left="660" w:right="140" w:hanging="652"/>
        <w:spacing w:after="0" w:line="266" w:lineRule="auto"/>
        <w:tabs>
          <w:tab w:leader="none" w:pos="39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period ended March 31, 2025, filed on the date hereof with the Securities and Exchange Commission (the “Report”), fully complies with the requirements of Section 13(a) or 15(d) of the Securities Exchange Act of 1934, as amended; and</w:t>
      </w:r>
    </w:p>
    <w:p>
      <w:pPr>
        <w:spacing w:after="0" w:line="202" w:lineRule="exact"/>
        <w:rPr>
          <w:rFonts w:ascii="Times New Roman" w:cs="Times New Roman" w:eastAsia="Times New Roman" w:hAnsi="Times New Roman"/>
          <w:sz w:val="18"/>
          <w:szCs w:val="18"/>
          <w:color w:val="auto"/>
        </w:rPr>
      </w:pPr>
    </w:p>
    <w:p>
      <w:pPr>
        <w:ind w:left="660" w:right="720" w:hanging="652"/>
        <w:spacing w:after="0" w:line="282" w:lineRule="auto"/>
        <w:tabs>
          <w:tab w:leader="none" w:pos="40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w:t>
      </w:r>
    </w:p>
    <w:p>
      <w:pPr>
        <w:spacing w:after="0" w:line="229" w:lineRule="exact"/>
        <w:rPr>
          <w:sz w:val="20"/>
          <w:szCs w:val="20"/>
          <w:color w:val="auto"/>
        </w:rPr>
      </w:pPr>
    </w:p>
    <w:p>
      <w:pPr>
        <w:ind w:left="20"/>
        <w:spacing w:after="0"/>
        <w:tabs>
          <w:tab w:leader="none" w:pos="760" w:val="left"/>
          <w:tab w:leader="none" w:pos="4440" w:val="left"/>
          <w:tab w:leader="none" w:pos="48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Paul A. Rode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17145</wp:posOffset>
            </wp:positionV>
            <wp:extent cx="21342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Paul A. Rode</w:t>
      </w:r>
    </w:p>
    <w:p>
      <w:pPr>
        <w:spacing w:after="0" w:line="2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4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BellRing Brands, Inc. and will be retained by BellRing Brands, Inc. and furnished to the Securities and Exchange Commission or its staff upon request.</w:t>
      </w:r>
    </w:p>
    <w:sectPr>
      <w:pgSz w:w="11900" w:h="16838" w:orient="portrait"/>
      <w:cols w:equalWidth="0" w:num="1">
        <w:col w:w="10460"/>
      </w:cols>
      <w:pgMar w:left="320" w:top="1440" w:right="11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lowerLetter"/>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1"/>
      <w:numFmt w:val="decimal"/>
      <w:start w:val="101"/>
    </w:lvl>
  </w:abstractNum>
  <w:abstractNum w:abstractNumId="8">
    <w:nsid w:val="1190CDE7"/>
    <w:multiLevelType w:val="hybridMultilevel"/>
    <w:lvl w:ilvl="0">
      <w:lvlJc w:val="left"/>
      <w:lvlText w:val="*"/>
      <w:numFmt w:val="bullet"/>
      <w:start w:val="1"/>
    </w:lvl>
    <w:lvl w:ilvl="1">
      <w:lvlJc w:val="left"/>
      <w:lvlText w:val="%2"/>
      <w:numFmt w:val="decimal"/>
      <w:start w:val="104"/>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38" Type="http://schemas.openxmlformats.org/officeDocument/2006/relationships/hyperlink" Target="https://www.sec.gov/Archives/edgar/data/1772016/000119312521308736/d232418dex21.htm" TargetMode="External"/><Relationship Id="rId39" Type="http://schemas.openxmlformats.org/officeDocument/2006/relationships/hyperlink" Target="https://www.sec.gov/Archives/edgar/data/1772016/000119312522055719/d405795dex21.htm" TargetMode="External"/><Relationship Id="rId40" Type="http://schemas.openxmlformats.org/officeDocument/2006/relationships/hyperlink" Target="https://www.sec.gov/Archives/edgar/data/1772016/000119312525018382/d925487dex31.htm" TargetMode="External"/><Relationship Id="rId41" Type="http://schemas.openxmlformats.org/officeDocument/2006/relationships/hyperlink" Target="https://www.sec.gov/Archives/edgar/data/1772016/000119312525018382/d925487dex32.htm" TargetMode="External"/><Relationship Id="rId42" Type="http://schemas.openxmlformats.org/officeDocument/2006/relationships/hyperlink" Target="https://www.sec.gov/Archives/edgar/data/1772016/000119312522072132/d319129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2025-05-06T14:25:26Z</dcterms:created>
  <dcterms:modified xsi:type="dcterms:W3CDTF">2025-05-06T14:25:26Z</dcterms:modified>
</cp:coreProperties>
</file>