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116205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125095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206375</wp:posOffset>
            </wp:positionV>
            <wp:extent cx="1434465" cy="69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697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9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001-39093</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83-4096323</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06"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left="800"/>
        <w:spacing w:after="0"/>
        <w:rPr>
          <w:sz w:val="20"/>
          <w:szCs w:val="20"/>
          <w:color w:val="auto"/>
        </w:rPr>
      </w:pPr>
      <w:r>
        <w:rPr>
          <w:rFonts w:ascii="Arial" w:cs="Arial" w:eastAsia="Arial" w:hAnsi="Arial"/>
          <w:sz w:val="10"/>
          <w:szCs w:val="10"/>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St. Louis</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1"/>
          <w:szCs w:val="11"/>
          <w:b w:val="1"/>
          <w:bCs w:val="1"/>
          <w:color w:val="auto"/>
        </w:rPr>
        <w:t>Missouri</w:t>
      </w:r>
    </w:p>
    <w:p>
      <w:pPr>
        <w:spacing w:after="0" w:line="20" w:lineRule="exact"/>
        <w:rPr>
          <w:sz w:val="24"/>
          <w:szCs w:val="24"/>
          <w:color w:val="auto"/>
        </w:rPr>
      </w:pPr>
      <w:r>
        <w:rPr>
          <w:sz w:val="24"/>
          <w:szCs w:val="24"/>
          <w:color w:val="auto"/>
        </w:rPr>
        <w:br w:type="column"/>
      </w:r>
    </w:p>
    <w:p>
      <w:pPr>
        <w:jc w:val="center"/>
        <w:ind w:right="1579"/>
        <w:spacing w:after="0"/>
        <w:rPr>
          <w:sz w:val="20"/>
          <w:szCs w:val="20"/>
          <w:color w:val="auto"/>
        </w:rPr>
      </w:pPr>
      <w:r>
        <w:rPr>
          <w:rFonts w:ascii="Arial" w:cs="Arial" w:eastAsia="Arial" w:hAnsi="Arial"/>
          <w:sz w:val="10"/>
          <w:szCs w:val="10"/>
          <w:b w:val="1"/>
          <w:bCs w:val="1"/>
          <w:color w:val="auto"/>
        </w:rPr>
        <w:t>63144</w:t>
      </w:r>
    </w:p>
    <w:p>
      <w:pPr>
        <w:spacing w:after="0" w:line="41" w:lineRule="exact"/>
        <w:rPr>
          <w:sz w:val="24"/>
          <w:szCs w:val="24"/>
          <w:color w:val="auto"/>
        </w:rPr>
      </w:pPr>
    </w:p>
    <w:p>
      <w:pPr>
        <w:sectPr>
          <w:pgSz w:w="11900" w:h="16838" w:orient="portrait"/>
          <w:cols w:equalWidth="0" w:num="4">
            <w:col w:w="2620" w:space="720"/>
            <w:col w:w="1140" w:space="720"/>
            <w:col w:w="1220" w:space="720"/>
            <w:col w:w="1879"/>
          </w:cols>
          <w:pgMar w:left="1440" w:top="292" w:right="1440" w:bottom="1440" w:gutter="0" w:footer="0" w:header="0"/>
          <w:type w:val="continuous"/>
        </w:sectPr>
      </w:pPr>
    </w:p>
    <w:p>
      <w:pPr>
        <w:jc w:val="center"/>
        <w:ind w:left="84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93" w:lineRule="exact"/>
        <w:rPr>
          <w:sz w:val="24"/>
          <w:szCs w:val="24"/>
          <w:color w:val="auto"/>
        </w:rPr>
      </w:pPr>
    </w:p>
    <w:p>
      <w:pPr>
        <w:sectPr>
          <w:pgSz w:w="11900" w:h="16838" w:orient="portrait"/>
          <w:cols w:equalWidth="0" w:num="2">
            <w:col w:w="6360" w:space="720"/>
            <w:col w:w="19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69"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sz w:val="24"/>
          <w:szCs w:val="24"/>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394" w:lineRule="auto"/>
        <w:tabs>
          <w:tab w:leader="none" w:pos="112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99"/>
        </w:trPr>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tcPr>
          <w:p>
            <w:pPr>
              <w:jc w:val="center"/>
              <w:ind w:right="60"/>
              <w:spacing w:after="0" w:line="100" w:lineRule="exact"/>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9"/>
              </w:rPr>
              <w:t>Class A common stock, par value $0.01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2"/>
              </w:rPr>
              <w:t>BRBR</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New York Stock Exchange</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r>
    </w:tbl>
    <w:p>
      <w:pPr>
        <w:spacing w:after="0" w:line="81"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39"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939"/>
        <w:spacing w:after="0" w:line="263" w:lineRule="auto"/>
        <w:rPr>
          <w:sz w:val="20"/>
          <w:szCs w:val="20"/>
          <w:color w:val="auto"/>
        </w:rPr>
      </w:pPr>
      <w:r>
        <w:rPr>
          <w:rFonts w:ascii="Arial" w:cs="Arial" w:eastAsia="Arial" w:hAnsi="Arial"/>
          <w:sz w:val="12"/>
          <w:szCs w:val="12"/>
          <w:color w:val="auto"/>
        </w:rPr>
        <w:t>Pursuant to Regulation FD, BellRing Brands, Inc. (the “Company” or “BellRing”) hereby furnishes investor presentation materials (the “Investor Presentation”). The Company expects to use the Investor Presentation in connection with presentations to investors beginning on February 28, 2022. A copy of the Investor Presentation is attached as Exhibit 99.1 to this Current Report on Form 8-K.</w:t>
      </w:r>
    </w:p>
    <w:p>
      <w:pPr>
        <w:spacing w:after="0" w:line="122" w:lineRule="exact"/>
        <w:rPr>
          <w:sz w:val="20"/>
          <w:szCs w:val="20"/>
          <w:color w:val="auto"/>
        </w:rPr>
      </w:pPr>
    </w:p>
    <w:p>
      <w:pPr>
        <w:ind w:left="840" w:right="939"/>
        <w:spacing w:after="0" w:line="259" w:lineRule="auto"/>
        <w:rPr>
          <w:sz w:val="20"/>
          <w:szCs w:val="20"/>
          <w:color w:val="auto"/>
        </w:rPr>
      </w:pPr>
      <w:r>
        <w:rPr>
          <w:rFonts w:ascii="Arial" w:cs="Arial" w:eastAsia="Arial" w:hAnsi="Arial"/>
          <w:sz w:val="12"/>
          <w:szCs w:val="12"/>
          <w:color w:val="auto"/>
        </w:rPr>
        <w:t>The information contained in this Item 7.01 and in the accompanying Exhibit 99.1 shall not be deemed “filed” for purposes of Section 18 of the Securities Exchange Act of 1934, as amended (the “Exchange Act”), or otherwise subject to the liabilities of that Section, nor shall such information or exhibit be deemed incorporated by reference in any filing under the Exchange Act or the Securities Act of 1933, as amended (the “Securities Act”), except as shall be expressly set forth by specific reference in such filing.</w:t>
      </w:r>
    </w:p>
    <w:p>
      <w:pPr>
        <w:spacing w:after="0" w:line="219"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(d) Exhibits</w:t>
      </w:r>
    </w:p>
    <w:p>
      <w:pPr>
        <w:spacing w:after="0" w:line="156" w:lineRule="exact"/>
        <w:rPr>
          <w:sz w:val="20"/>
          <w:szCs w:val="20"/>
          <w:color w:val="auto"/>
        </w:rPr>
      </w:pPr>
    </w:p>
    <w:p>
      <w:pPr>
        <w:ind w:left="940"/>
        <w:spacing w:after="0"/>
        <w:rPr>
          <w:sz w:val="20"/>
          <w:szCs w:val="20"/>
          <w:color w:val="auto"/>
        </w:rPr>
      </w:pPr>
      <w:r>
        <w:rPr>
          <w:rFonts w:ascii="Arial" w:cs="Arial" w:eastAsia="Arial" w:hAnsi="Arial"/>
          <w:sz w:val="10"/>
          <w:szCs w:val="10"/>
          <w:color w:val="auto"/>
        </w:rPr>
        <w:t>Exhibit</w:t>
      </w:r>
    </w:p>
    <w:p>
      <w:pPr>
        <w:ind w:left="1020"/>
        <w:spacing w:after="0" w:line="236" w:lineRule="auto"/>
        <w:tabs>
          <w:tab w:leader="none" w:pos="1480" w:val="left"/>
        </w:tabs>
        <w:rPr>
          <w:sz w:val="20"/>
          <w:szCs w:val="20"/>
          <w:color w:val="auto"/>
        </w:rPr>
      </w:pPr>
      <w:r>
        <w:rPr>
          <w:rFonts w:ascii="Arial" w:cs="Arial" w:eastAsia="Arial" w:hAnsi="Arial"/>
          <w:sz w:val="10"/>
          <w:szCs w:val="10"/>
          <w:color w:val="auto"/>
        </w:rPr>
        <w:t>No.</w:t>
      </w:r>
      <w:r>
        <w:rPr>
          <w:sz w:val="20"/>
          <w:szCs w:val="20"/>
          <w:color w:val="auto"/>
        </w:rPr>
        <w:tab/>
      </w:r>
      <w:r>
        <w:rPr>
          <w:rFonts w:ascii="Arial" w:cs="Arial" w:eastAsia="Arial" w:hAnsi="Arial"/>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-5715</wp:posOffset>
            </wp:positionV>
            <wp:extent cx="1828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43"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0"/>
          <w:szCs w:val="10"/>
          <w:color w:val="auto"/>
        </w:rPr>
        <w:t>Investor Presentation dated February 2022</w:t>
      </w:r>
    </w:p>
    <w:p>
      <w:pPr>
        <w:spacing w:after="0" w:line="78"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(the cover page iXBRL tags are embedded within the Inline XBRL document)</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Cautionary Statement on Forward-Looking Language</w:t>
      </w:r>
    </w:p>
    <w:p>
      <w:pPr>
        <w:spacing w:after="0" w:line="82"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Post Holdings, Inc.’s (“Post”) proposed distribution of a significant portion of its interest in New BellRing Distribution, LLC (“New BellRing”) to Post shareholders, including the amount of New BellRing equity Post intends to distribute, the form of the distribution, the amount of cash Post intends to contribute to New BellRing and New BellRing’s intended use of the cash it receives from Post.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the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82"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w:t>
      </w:r>
    </w:p>
    <w:p>
      <w:pPr>
        <w:sectPr>
          <w:pgSz w:w="11900" w:h="16838" w:orient="portrait"/>
          <w:cols w:equalWidth="0" w:num="1">
            <w:col w:w="9019"/>
          </w:cols>
          <w:pgMar w:left="1440" w:top="226" w:right="1440" w:bottom="1440" w:gutter="0" w:footer="0" w:header="0"/>
        </w:sectPr>
      </w:pPr>
    </w:p>
    <w:bookmarkStart w:id="2" w:name="page3"/>
    <w:bookmarkEnd w:id="2"/>
    <w:p>
      <w:pPr>
        <w:ind w:left="840" w:right="91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t>
      </w:r>
      <w:r>
        <w:rPr>
          <w:rFonts w:ascii="Arial" w:cs="Arial" w:eastAsia="Arial" w:hAnsi="Arial"/>
          <w:sz w:val="12"/>
          <w:szCs w:val="12"/>
          <w:u w:val="single" w:color="auto"/>
          <w:color w:val="auto"/>
        </w:rPr>
        <w:t>www.bellring.com</w:t>
      </w:r>
      <w:r>
        <w:rPr>
          <w:rFonts w:ascii="Arial" w:cs="Arial" w:eastAsia="Arial" w:hAnsi="Arial"/>
          <w:sz w:val="12"/>
          <w:szCs w:val="12"/>
          <w:color w:val="auto"/>
        </w:rPr>
        <w:t>, or Post’s website, www.postholdings.com.</w:t>
      </w:r>
    </w:p>
    <w:p>
      <w:pPr>
        <w:spacing w:after="0" w:line="124"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a Solicitation</w:t>
      </w:r>
    </w:p>
    <w:p>
      <w:pPr>
        <w:spacing w:after="0" w:line="82" w:lineRule="exact"/>
        <w:rPr>
          <w:sz w:val="20"/>
          <w:szCs w:val="20"/>
          <w:color w:val="auto"/>
        </w:rPr>
      </w:pPr>
    </w:p>
    <w:p>
      <w:pPr>
        <w:ind w:left="840" w:right="859"/>
        <w:spacing w:after="0" w:line="280" w:lineRule="auto"/>
        <w:rPr>
          <w:sz w:val="20"/>
          <w:szCs w:val="20"/>
          <w:color w:val="auto"/>
        </w:rPr>
      </w:pPr>
      <w:r>
        <w:rPr>
          <w:rFonts w:ascii="Arial" w:cs="Arial" w:eastAsia="Arial" w:hAnsi="Arial"/>
          <w:sz w:val="11"/>
          <w:szCs w:val="11"/>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9019"/>
          </w:cols>
          <w:pgMar w:left="1440" w:top="23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tbl>
      <w:tblPr>
        <w:tblLayout w:type="fixed"/>
        <w:tblInd w:w="960" w:type="dxa"/>
        <w:tblCellMar>
          <w:top w:w="0" w:type="dxa"/>
          <w:left w:w="0" w:type="dxa"/>
          <w:bottom w:w="0" w:type="dxa"/>
          <w:right w:w="0" w:type="dxa"/>
        </w:tblCellMar>
      </w:tblPr>
      <w:tr>
        <w:trPr>
          <w:trHeight w:val="148"/>
        </w:trPr>
        <w:tc>
          <w:tcPr>
            <w:tcW w:w="2360" w:type="dxa"/>
            <w:vAlign w:val="bottom"/>
          </w:tcPr>
          <w:p>
            <w:pPr>
              <w:spacing w:after="0"/>
              <w:rPr>
                <w:sz w:val="20"/>
                <w:szCs w:val="20"/>
                <w:color w:val="auto"/>
              </w:rPr>
            </w:pPr>
            <w:r>
              <w:rPr>
                <w:rFonts w:ascii="Arial" w:cs="Arial" w:eastAsia="Arial" w:hAnsi="Arial"/>
                <w:sz w:val="12"/>
                <w:szCs w:val="12"/>
                <w:color w:val="auto"/>
              </w:rPr>
              <w:t>Date: February 28, 2022</w:t>
            </w:r>
          </w:p>
        </w:tc>
        <w:tc>
          <w:tcPr>
            <w:tcW w:w="4860" w:type="dxa"/>
            <w:vAlign w:val="bottom"/>
            <w:gridSpan w:val="2"/>
          </w:tcPr>
          <w:p>
            <w:pPr>
              <w:ind w:left="1200"/>
              <w:spacing w:after="0"/>
              <w:rPr>
                <w:sz w:val="20"/>
                <w:szCs w:val="20"/>
                <w:color w:val="auto"/>
              </w:rPr>
            </w:pPr>
            <w:r>
              <w:rPr>
                <w:rFonts w:ascii="Arial" w:cs="Arial" w:eastAsia="Arial" w:hAnsi="Arial"/>
                <w:sz w:val="12"/>
                <w:szCs w:val="12"/>
                <w:b w:val="1"/>
                <w:bCs w:val="1"/>
                <w:color w:val="auto"/>
              </w:rPr>
              <w:t>BellRing Brands, Inc.</w:t>
            </w:r>
          </w:p>
        </w:tc>
      </w:tr>
      <w:tr>
        <w:trPr>
          <w:trHeight w:val="153"/>
        </w:trPr>
        <w:tc>
          <w:tcPr>
            <w:tcW w:w="2360" w:type="dxa"/>
            <w:vAlign w:val="bottom"/>
          </w:tcPr>
          <w:p>
            <w:pPr>
              <w:spacing w:after="0"/>
              <w:rPr>
                <w:sz w:val="13"/>
                <w:szCs w:val="13"/>
                <w:color w:val="auto"/>
              </w:rPr>
            </w:pPr>
          </w:p>
        </w:tc>
        <w:tc>
          <w:tcPr>
            <w:tcW w:w="4860" w:type="dxa"/>
            <w:vAlign w:val="bottom"/>
            <w:gridSpan w:val="2"/>
          </w:tcPr>
          <w:p>
            <w:pPr>
              <w:ind w:left="1200"/>
              <w:spacing w:after="0"/>
              <w:rPr>
                <w:sz w:val="20"/>
                <w:szCs w:val="20"/>
                <w:color w:val="auto"/>
              </w:rPr>
            </w:pPr>
            <w:r>
              <w:rPr>
                <w:rFonts w:ascii="Arial" w:cs="Arial" w:eastAsia="Arial" w:hAnsi="Arial"/>
                <w:sz w:val="12"/>
                <w:szCs w:val="12"/>
                <w:color w:val="auto"/>
              </w:rPr>
              <w:t>(Registrant)</w:t>
            </w:r>
          </w:p>
        </w:tc>
      </w:tr>
      <w:tr>
        <w:trPr>
          <w:trHeight w:val="288"/>
        </w:trPr>
        <w:tc>
          <w:tcPr>
            <w:tcW w:w="2360" w:type="dxa"/>
            <w:vAlign w:val="bottom"/>
          </w:tcPr>
          <w:p>
            <w:pPr>
              <w:spacing w:after="0"/>
              <w:rPr>
                <w:sz w:val="24"/>
                <w:szCs w:val="24"/>
                <w:color w:val="auto"/>
              </w:rPr>
            </w:pPr>
          </w:p>
        </w:tc>
        <w:tc>
          <w:tcPr>
            <w:tcW w:w="1620" w:type="dxa"/>
            <w:vAlign w:val="bottom"/>
          </w:tcPr>
          <w:p>
            <w:pPr>
              <w:ind w:left="1200"/>
              <w:spacing w:after="0"/>
              <w:rPr>
                <w:sz w:val="20"/>
                <w:szCs w:val="20"/>
                <w:color w:val="auto"/>
              </w:rPr>
            </w:pPr>
            <w:r>
              <w:rPr>
                <w:rFonts w:ascii="Arial" w:cs="Arial" w:eastAsia="Arial" w:hAnsi="Arial"/>
                <w:sz w:val="12"/>
                <w:szCs w:val="12"/>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Craig L. Rosenthal</w:t>
            </w:r>
          </w:p>
        </w:tc>
      </w:tr>
      <w:tr>
        <w:trPr>
          <w:trHeight w:val="133"/>
        </w:trPr>
        <w:tc>
          <w:tcPr>
            <w:tcW w:w="2360" w:type="dxa"/>
            <w:vAlign w:val="bottom"/>
          </w:tcPr>
          <w:p>
            <w:pPr>
              <w:spacing w:after="0"/>
              <w:rPr>
                <w:sz w:val="11"/>
                <w:szCs w:val="11"/>
                <w:color w:val="auto"/>
              </w:rPr>
            </w:pPr>
          </w:p>
        </w:tc>
        <w:tc>
          <w:tcPr>
            <w:tcW w:w="1620" w:type="dxa"/>
            <w:vAlign w:val="bottom"/>
          </w:tcPr>
          <w:p>
            <w:pPr>
              <w:ind w:left="1200"/>
              <w:spacing w:after="0" w:line="133" w:lineRule="exact"/>
              <w:rPr>
                <w:sz w:val="20"/>
                <w:szCs w:val="20"/>
                <w:color w:val="auto"/>
              </w:rPr>
            </w:pPr>
            <w:r>
              <w:rPr>
                <w:rFonts w:ascii="Arial" w:cs="Arial" w:eastAsia="Arial" w:hAnsi="Arial"/>
                <w:sz w:val="12"/>
                <w:szCs w:val="12"/>
                <w:color w:val="auto"/>
              </w:rPr>
              <w:t>Name:</w:t>
            </w:r>
          </w:p>
        </w:tc>
        <w:tc>
          <w:tcPr>
            <w:tcW w:w="3240" w:type="dxa"/>
            <w:vAlign w:val="bottom"/>
          </w:tcPr>
          <w:p>
            <w:pPr>
              <w:spacing w:after="0" w:line="133" w:lineRule="exact"/>
              <w:rPr>
                <w:sz w:val="20"/>
                <w:szCs w:val="20"/>
                <w:color w:val="auto"/>
              </w:rPr>
            </w:pPr>
            <w:r>
              <w:rPr>
                <w:rFonts w:ascii="Arial" w:cs="Arial" w:eastAsia="Arial" w:hAnsi="Arial"/>
                <w:sz w:val="12"/>
                <w:szCs w:val="12"/>
                <w:color w:val="auto"/>
              </w:rPr>
              <w:t>Craig L. Rosenthal</w:t>
            </w:r>
          </w:p>
        </w:tc>
      </w:tr>
      <w:tr>
        <w:trPr>
          <w:trHeight w:val="153"/>
        </w:trPr>
        <w:tc>
          <w:tcPr>
            <w:tcW w:w="2360" w:type="dxa"/>
            <w:vAlign w:val="bottom"/>
          </w:tcPr>
          <w:p>
            <w:pPr>
              <w:spacing w:after="0"/>
              <w:rPr>
                <w:sz w:val="13"/>
                <w:szCs w:val="13"/>
                <w:color w:val="auto"/>
              </w:rPr>
            </w:pPr>
          </w:p>
        </w:tc>
        <w:tc>
          <w:tcPr>
            <w:tcW w:w="1620" w:type="dxa"/>
            <w:vAlign w:val="bottom"/>
          </w:tcPr>
          <w:p>
            <w:pPr>
              <w:ind w:left="1200"/>
              <w:spacing w:after="0"/>
              <w:rPr>
                <w:sz w:val="20"/>
                <w:szCs w:val="20"/>
                <w:color w:val="auto"/>
              </w:rPr>
            </w:pPr>
            <w:r>
              <w:rPr>
                <w:rFonts w:ascii="Arial" w:cs="Arial" w:eastAsia="Arial" w:hAnsi="Arial"/>
                <w:sz w:val="12"/>
                <w:szCs w:val="12"/>
                <w:color w:val="auto"/>
              </w:rPr>
              <w:t>Title:</w:t>
            </w:r>
          </w:p>
        </w:tc>
        <w:tc>
          <w:tcPr>
            <w:tcW w:w="3240" w:type="dxa"/>
            <w:vAlign w:val="bottom"/>
          </w:tcPr>
          <w:p>
            <w:pPr>
              <w:spacing w:after="0"/>
              <w:rPr>
                <w:sz w:val="20"/>
                <w:szCs w:val="20"/>
                <w:color w:val="auto"/>
              </w:rPr>
            </w:pPr>
            <w:r>
              <w:rPr>
                <w:rFonts w:ascii="Arial" w:cs="Arial" w:eastAsia="Arial" w:hAnsi="Arial"/>
                <w:sz w:val="12"/>
                <w:szCs w:val="12"/>
                <w:color w:val="auto"/>
              </w:rPr>
              <w:t>Senior Vice President and General Counsel, Secretary</w:t>
            </w:r>
          </w:p>
        </w:tc>
      </w:tr>
    </w:tbl>
    <w:p>
      <w:pPr>
        <w:sectPr>
          <w:pgSz w:w="11900" w:h="16838" w:orient="portrait"/>
          <w:cols w:equalWidth="0" w:num="1">
            <w:col w:w="9019"/>
          </w:cols>
          <w:pgMar w:left="1440" w:top="226"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772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772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2022-02-28T08:10:13Z</dcterms:created>
  <dcterms:modified xsi:type="dcterms:W3CDTF">2022-02-28T08:10:13Z</dcterms:modified>
</cp:coreProperties>
</file>