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979ddef14a.htm"/>
        <w:bookmarkStart w:id="1" w:name="ksd3097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14a-6(e)(2))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44"/>
        </w:rPr>
      </w:pPr>
      <w:r>
        <w:rPr>
          <w:rFonts w:ascii="Times New Roman" w:hAnsi="Times New Roman"/>
          <w:b/>
          <w:sz w:val="44"/>
        </w:rPr>
        <w:t xml:space="preserve">BellRing Brands,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819910" cy="885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910" cy="88519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December 16, 2025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our annual meeting of stockholders on Wednesday, January 28, 2026. We will hold the meeting at 9:00 a.m., Central Time. The meeting will be entirely virtual, conducted via a live audio-only webcast.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meeting, we have prepared a notice of the meeting, a proxy statement, a proxy card and our annual report to stockholders for the fiscal year ended September 30, 2025, which contain detailed information about us and our operating and financial performance. On or about December 16, 2025, we began mailing to our stockholders these materials or a Notice Regarding the Availability of Proxy Materials containing instructions on how to access these materials online.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 </w:t>
      </w:r>
    </w:p>
    <w:p>
      <w:pPr>
        <w:pStyle w:val="TextBody"/>
        <w:bidi w:val="0"/>
        <w:spacing w:before="0" w:after="0"/>
        <w:jc w:val="left"/>
        <w:rPr/>
      </w:pPr>
      <w:r>
        <w:rPr/>
        <w:t> </w:t>
      </w:r>
    </w:p>
    <w:tbl>
      <w:tblPr>
        <w:tblW w:w="4098" w:type="dxa"/>
        <w:jc w:val="left"/>
        <w:tblInd w:w="0" w:type="dxa"/>
        <w:tblLayout w:type="fixed"/>
        <w:tblCellMar>
          <w:top w:w="0" w:type="dxa"/>
          <w:left w:w="0" w:type="dxa"/>
          <w:bottom w:w="0" w:type="dxa"/>
          <w:right w:w="0" w:type="dxa"/>
        </w:tblCellMar>
      </w:tblPr>
      <w:tblGrid>
        <w:gridCol w:w="4098"/>
      </w:tblGrid>
      <w:tr>
        <w:trPr/>
        <w:tc>
          <w:tcPr>
            <w:tcW w:w="4098"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4098"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center"/>
          </w:tcPr>
          <w:p>
            <w:pPr>
              <w:pStyle w:val="TableContents"/>
              <w:bidi w:val="0"/>
              <w:spacing w:before="0" w:after="283"/>
              <w:jc w:val="left"/>
              <w:rPr/>
            </w:pPr>
            <w:r>
              <w:rPr/>
              <w:drawing>
                <wp:inline distT="0" distB="0" distL="0" distR="0">
                  <wp:extent cx="2545080" cy="399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45080" cy="399415"/>
                          </a:xfrm>
                          <a:prstGeom prst="rect">
                            <a:avLst/>
                          </a:prstGeom>
                        </pic:spPr>
                      </pic:pic>
                    </a:graphicData>
                  </a:graphic>
                </wp:inline>
              </w:drawing>
            </w:r>
            <w:r>
              <w:rPr/>
              <w:t xml:space="preserve"> </w:t>
            </w:r>
          </w:p>
        </w:tc>
      </w:tr>
      <w:tr>
        <w:trPr/>
        <w:tc>
          <w:tcPr>
            <w:tcW w:w="4098"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Darcy H. Davenport</w:t>
            </w:r>
          </w:p>
        </w:tc>
      </w:tr>
      <w:tr>
        <w:trPr/>
        <w:tc>
          <w:tcPr>
            <w:tcW w:w="4098"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819910" cy="8851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19910" cy="88519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BellRing Brands, Inc. </w:t>
      </w:r>
    </w:p>
    <w:p>
      <w:pPr>
        <w:pStyle w:val="TextBody"/>
        <w:bidi w:val="0"/>
        <w:spacing w:before="0" w:after="0"/>
        <w:jc w:val="center"/>
        <w:rPr>
          <w:rFonts w:ascii="Times New Roman" w:hAnsi="Times New Roman"/>
          <w:b/>
          <w:sz w:val="20"/>
        </w:rPr>
      </w:pPr>
      <w:r>
        <w:rPr>
          <w:rFonts w:ascii="Times New Roman" w:hAnsi="Times New Roman"/>
          <w:b/>
          <w:sz w:val="20"/>
        </w:rPr>
        <w:t xml:space="preserve">1 N Brentwood Blvd., Suite 1550 </w:t>
      </w:r>
    </w:p>
    <w:p>
      <w:pPr>
        <w:pStyle w:val="TextBody"/>
        <w:bidi w:val="0"/>
        <w:spacing w:before="0" w:after="0"/>
        <w:jc w:val="center"/>
        <w:rPr>
          <w:rFonts w:ascii="Times New Roman" w:hAnsi="Times New Roman"/>
          <w:b/>
          <w:sz w:val="20"/>
        </w:rPr>
      </w:pPr>
      <w:r>
        <w:rPr>
          <w:rFonts w:ascii="Times New Roman" w:hAnsi="Times New Roman"/>
          <w:b/>
          <w:sz w:val="20"/>
        </w:rPr>
        <w:t xml:space="preserve">St. Louis, Missouri 63105 </w:t>
      </w:r>
    </w:p>
    <w:p>
      <w:pPr>
        <w:pStyle w:val="TextBody"/>
        <w:bidi w:val="0"/>
        <w:spacing w:before="120" w:after="0"/>
        <w:jc w:val="right"/>
        <w:rPr>
          <w:rFonts w:ascii="Times New Roman" w:hAnsi="Times New Roman"/>
          <w:sz w:val="20"/>
        </w:rPr>
      </w:pPr>
      <w:r>
        <w:rPr>
          <w:rFonts w:ascii="Times New Roman" w:hAnsi="Times New Roman"/>
          <w:sz w:val="20"/>
        </w:rPr>
        <w:t xml:space="preserve">December 16, 2025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2026 annual meeting of stockholders of BellRing Brands, Inc. will be held at 9:00 a.m., Central Time, on Wednesday, January 28, 2026. The meeting will be held exclusively online, via a live audio-only webcast. If you plan to attend the virtual meeting, please see the information below as well as the attendance and registration instructions in the proxy statement. There will be no physical location for this meeting.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045"/>
        <w:gridCol w:w="120"/>
        <w:gridCol w:w="845"/>
        <w:gridCol w:w="120"/>
        <w:gridCol w:w="342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CCEEFF" w:val="clear"/>
            <w:vAlign w:val="center"/>
          </w:tcPr>
          <w:p>
            <w:pPr>
              <w:pStyle w:val="TableContents"/>
              <w:bidi w:val="0"/>
              <w:spacing w:before="0" w:after="283"/>
              <w:jc w:val="left"/>
              <w:rPr/>
            </w:pPr>
            <w:r>
              <w:rPr/>
              <w:t>Meeting Information:</w:t>
            </w:r>
          </w:p>
        </w:tc>
        <w:tc>
          <w:tcPr>
            <w:tcW w:w="12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Date:</w:t>
            </w:r>
          </w:p>
        </w:tc>
        <w:tc>
          <w:tcPr>
            <w:tcW w:w="120" w:type="dxa"/>
            <w:tcBorders/>
            <w:shd w:fill="CCEEFF" w:val="clear"/>
            <w:vAlign w:val="center"/>
          </w:tcPr>
          <w:p>
            <w:pPr>
              <w:pStyle w:val="TableContents"/>
              <w:bidi w:val="0"/>
              <w:spacing w:before="0" w:after="283"/>
              <w:jc w:val="left"/>
              <w:rPr/>
            </w:pPr>
            <w:r>
              <w:rPr/>
              <w:t>  </w:t>
            </w:r>
          </w:p>
        </w:tc>
        <w:tc>
          <w:tcPr>
            <w:tcW w:w="3425" w:type="dxa"/>
            <w:tcBorders/>
            <w:shd w:fill="CCEEFF" w:val="clear"/>
            <w:vAlign w:val="center"/>
          </w:tcPr>
          <w:p>
            <w:pPr>
              <w:pStyle w:val="TableContents"/>
              <w:bidi w:val="0"/>
              <w:spacing w:before="0" w:after="283"/>
              <w:jc w:val="left"/>
              <w:rPr/>
            </w:pPr>
            <w:r>
              <w:rPr/>
              <w:t>Wednesday, January 28, 2026</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Time:</w:t>
            </w:r>
          </w:p>
        </w:tc>
        <w:tc>
          <w:tcPr>
            <w:tcW w:w="12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9:00 a.m. Central Time</w:t>
            </w:r>
          </w:p>
        </w:tc>
      </w:tr>
      <w:tr>
        <w:trPr/>
        <w:tc>
          <w:tcPr>
            <w:tcW w:w="20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Website:</w:t>
            </w:r>
          </w:p>
        </w:tc>
        <w:tc>
          <w:tcPr>
            <w:tcW w:w="120" w:type="dxa"/>
            <w:tcBorders/>
            <w:shd w:fill="CCEEFF" w:val="clear"/>
            <w:vAlign w:val="center"/>
          </w:tcPr>
          <w:p>
            <w:pPr>
              <w:pStyle w:val="TableContents"/>
              <w:bidi w:val="0"/>
              <w:spacing w:before="0" w:after="283"/>
              <w:jc w:val="left"/>
              <w:rPr/>
            </w:pPr>
            <w:r>
              <w:rPr/>
              <w:t>  </w:t>
            </w:r>
          </w:p>
        </w:tc>
        <w:tc>
          <w:tcPr>
            <w:tcW w:w="3425" w:type="dxa"/>
            <w:tcBorders/>
            <w:shd w:fill="CCEEFF" w:val="clear"/>
            <w:vAlign w:val="center"/>
          </w:tcPr>
          <w:p>
            <w:pPr>
              <w:pStyle w:val="TableContents"/>
              <w:bidi w:val="0"/>
              <w:spacing w:before="0" w:after="283"/>
              <w:jc w:val="left"/>
              <w:rPr/>
            </w:pPr>
            <w:r>
              <w:rPr/>
              <w:t>www.meetnow.global/MADH4W4</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annual meeting, stockholders will consider the following matters: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00"/>
        <w:gridCol w:w="55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1.</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five nominees to the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PricewaterhouseCoopers LLP as our independent registered public accounting firm for the fiscal year ending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b/>
              </w:rPr>
            </w:pPr>
            <w:r>
              <w:rPr>
                <w:b/>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an advisory basis, for the adoption of a resolution approving the compensation of our named executive officers, as such compensation is described under the “Compensation Discussion and Analysis” and “Executive Compensation” sections of this proxy statement; and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200"/>
        <w:gridCol w:w="50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4.</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business properly introduced at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close of business on December 8, 2025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16, 2025.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take advantage of the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vote is important. Please note that if you hold your shares through a broker, your broker cannot vote your shares on any matter, except ratification of the appointment of PricewaterhouseCoopers LLP as our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independent registered public accounting firm, in the absence of your specific instructions as to how to vote. In order for your vote to be counted, please make sure that you submit your vote to your broker. </w:t>
      </w:r>
    </w:p>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4090"/>
      </w:tblGrid>
      <w:tr>
        <w:trPr/>
        <w:tc>
          <w:tcPr>
            <w:tcW w:w="409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409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pPr>
            <w:r>
              <w:rPr/>
              <w:drawing>
                <wp:inline distT="0" distB="0" distL="0" distR="0">
                  <wp:extent cx="2540000" cy="3727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40000" cy="372745"/>
                          </a:xfrm>
                          <a:prstGeom prst="rect">
                            <a:avLst/>
                          </a:prstGeom>
                        </pic:spPr>
                      </pic:pic>
                    </a:graphicData>
                  </a:graphic>
                </wp:inline>
              </w:drawing>
            </w:r>
            <w:r>
              <w:rPr/>
              <w:t xml:space="preserve"> </w:t>
            </w:r>
          </w:p>
        </w:tc>
      </w:tr>
      <w:tr>
        <w:trPr/>
        <w:tc>
          <w:tcPr>
            <w:tcW w:w="409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r>
      <w:tr>
        <w:trPr/>
        <w:tc>
          <w:tcPr>
            <w:tcW w:w="40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Legal Officer and Secretary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THE STOCKHOLDER MEETING TO BE HELD ON JANUARY 28, 2026 </w:t>
      </w:r>
    </w:p>
    <w:p>
      <w:pPr>
        <w:pStyle w:val="TextBody"/>
        <w:bidi w:val="0"/>
        <w:spacing w:before="240" w:after="0"/>
        <w:jc w:val="center"/>
        <w:rPr>
          <w:rFonts w:ascii="Times New Roman" w:hAnsi="Times New Roman"/>
          <w:sz w:val="20"/>
        </w:rPr>
      </w:pPr>
      <w:r>
        <w:rPr>
          <w:rFonts w:ascii="Times New Roman" w:hAnsi="Times New Roman"/>
          <w:b/>
          <w:sz w:val="20"/>
        </w:rPr>
        <w:t xml:space="preserve">This notice, the proxy statement attached to this notice and our annual report to stockholders for the fiscal year ended September 30, 2025 are available at </w:t>
      </w:r>
      <w:r>
        <w:rPr>
          <w:rFonts w:ascii="Times New Roman" w:hAnsi="Times New Roman"/>
          <w:b/>
          <w:i/>
          <w:sz w:val="20"/>
        </w:rPr>
        <w:t xml:space="preserve">www.envisionreports.com/BRBR </w:t>
      </w:r>
      <w:r>
        <w:rPr>
          <w:rFonts w:ascii="Times New Roman" w:hAnsi="Times New Roman"/>
          <w:b/>
          <w:sz w:val="20"/>
        </w:rPr>
        <w:t xml:space="preserve">and on our website at </w:t>
      </w:r>
      <w:r>
        <w:rPr>
          <w:rFonts w:ascii="Times New Roman" w:hAnsi="Times New Roman"/>
          <w:b/>
          <w:i/>
          <w:sz w:val="20"/>
        </w:rPr>
        <w:t>www.bellring.com</w:t>
      </w:r>
      <w:r>
        <w:rPr>
          <w:rFonts w:ascii="Times New Roman" w:hAnsi="Times New Roman"/>
          <w:b/>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25"/>
        <w:gridCol w:w="120"/>
        <w:gridCol w:w="90"/>
        <w:gridCol w:w="395"/>
        <w:gridCol w:w="75"/>
      </w:tblGrid>
      <w:tr>
        <w:trPr/>
        <w:tc>
          <w:tcPr>
            <w:tcW w:w="9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
              <w:r>
                <w:rPr>
                  <w:rStyle w:val="InternetLink"/>
                  <w:rFonts w:ascii="Times New Roman" w:hAnsi="Times New Roman"/>
                  <w:sz w:val="20"/>
                </w:rPr>
                <w:t>PROXY STATEMENT SUMMARY</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30979_2">
              <w:r>
                <w:rPr>
                  <w:rStyle w:val="InternetLink"/>
                  <w:rFonts w:ascii="Times New Roman" w:hAnsi="Times New Roman"/>
                  <w:sz w:val="20"/>
                </w:rPr>
                <w:t>PROXY AND VOTING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30979_3">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5">
              <w:r>
                <w:rPr>
                  <w:rStyle w:val="InternetLink"/>
                  <w:rFonts w:ascii="Times New Roman" w:hAnsi="Times New Roman"/>
                  <w:sz w:val="20"/>
                </w:rPr>
                <w:t>Refreshment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6">
              <w:r>
                <w:rPr>
                  <w:rStyle w:val="InternetLink"/>
                  <w:rFonts w:ascii="Times New Roman" w:hAnsi="Times New Roman"/>
                  <w:sz w:val="20"/>
                </w:rPr>
                <w:t>Director Independence and Role of the Independent Lead Director</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7">
              <w:r>
                <w:rPr>
                  <w:rStyle w:val="InternetLink"/>
                  <w:rFonts w:ascii="Times New Roman" w:hAnsi="Times New Roman"/>
                  <w:sz w:val="20"/>
                </w:rPr>
                <w:t>Policy Relating to the Election of Directors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8">
              <w:r>
                <w:rPr>
                  <w:rStyle w:val="InternetLink"/>
                  <w:rFonts w:ascii="Times New Roman" w:hAnsi="Times New Roman"/>
                  <w:sz w:val="20"/>
                </w:rPr>
                <w:t>Code of Conduct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9">
              <w:r>
                <w:rPr>
                  <w:rStyle w:val="InternetLink"/>
                  <w:rFonts w:ascii="Times New Roman" w:hAnsi="Times New Roman"/>
                  <w:sz w:val="20"/>
                </w:rPr>
                <w:t>Insider Trading Policies and Procedures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0">
              <w:r>
                <w:rPr>
                  <w:rStyle w:val="InternetLink"/>
                  <w:rFonts w:ascii="Times New Roman" w:hAnsi="Times New Roman"/>
                  <w:sz w:val="20"/>
                </w:rPr>
                <w:t>Conflicts of Interest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1">
              <w:r>
                <w:rPr>
                  <w:rStyle w:val="InternetLink"/>
                  <w:rFonts w:ascii="Times New Roman" w:hAnsi="Times New Roman"/>
                  <w:sz w:val="20"/>
                </w:rPr>
                <w:t>Policy on Hedging and Pledging Company Stock</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2">
              <w:r>
                <w:rPr>
                  <w:rStyle w:val="InternetLink"/>
                  <w:rFonts w:ascii="Times New Roman" w:hAnsi="Times New Roman"/>
                  <w:sz w:val="20"/>
                </w:rPr>
                <w:t>Structure of the Board of Directors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3">
              <w:r>
                <w:rPr>
                  <w:rStyle w:val="InternetLink"/>
                  <w:rFonts w:ascii="Times New Roman" w:hAnsi="Times New Roman"/>
                  <w:sz w:val="20"/>
                </w:rPr>
                <w:t>Board Meetings and Committees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4">
              <w:r>
                <w:rPr>
                  <w:rStyle w:val="InternetLink"/>
                  <w:rFonts w:ascii="Times New Roman" w:hAnsi="Times New Roman"/>
                  <w:sz w:val="20"/>
                </w:rPr>
                <w:t>Nomination Process for Election of Directors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5">
              <w:r>
                <w:rPr>
                  <w:rStyle w:val="InternetLink"/>
                  <w:rFonts w:ascii="Times New Roman" w:hAnsi="Times New Roman"/>
                  <w:sz w:val="20"/>
                </w:rPr>
                <w:t>Other Board Service</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6">
              <w:r>
                <w:rPr>
                  <w:rStyle w:val="InternetLink"/>
                  <w:rFonts w:ascii="Times New Roman" w:hAnsi="Times New Roman"/>
                  <w:sz w:val="20"/>
                </w:rPr>
                <w:t>Role of the Board in Risk Oversight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7">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8">
              <w:r>
                <w:rPr>
                  <w:rStyle w:val="InternetLink"/>
                  <w:rFonts w:ascii="Times New Roman" w:hAnsi="Times New Roman"/>
                  <w:sz w:val="20"/>
                </w:rPr>
                <w:t>Director Evaluations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19">
              <w:r>
                <w:rPr>
                  <w:rStyle w:val="InternetLink"/>
                  <w:rFonts w:ascii="Times New Roman" w:hAnsi="Times New Roman"/>
                  <w:sz w:val="20"/>
                </w:rPr>
                <w:t>Policy on Director Diversity</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0">
              <w:r>
                <w:rPr>
                  <w:rStyle w:val="InternetLink"/>
                  <w:rFonts w:ascii="Times New Roman" w:hAnsi="Times New Roman"/>
                  <w:sz w:val="20"/>
                </w:rPr>
                <w:t>Communication with the Board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1">
              <w:r>
                <w:rPr>
                  <w:rStyle w:val="InternetLink"/>
                  <w:rFonts w:ascii="Times New Roman" w:hAnsi="Times New Roman"/>
                  <w:sz w:val="20"/>
                </w:rPr>
                <w:t>Environmental Sustainability and Social Matters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2">
              <w:r>
                <w:rPr>
                  <w:rStyle w:val="InternetLink"/>
                  <w:rFonts w:ascii="Times New Roman" w:hAnsi="Times New Roman"/>
                  <w:sz w:val="20"/>
                </w:rPr>
                <w:t>Information Technology and Cybersecurity Risk Oversight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3">
              <w:r>
                <w:rPr>
                  <w:rStyle w:val="InternetLink"/>
                  <w:rFonts w:ascii="Times New Roman" w:hAnsi="Times New Roman"/>
                  <w:sz w:val="20"/>
                </w:rPr>
                <w:t>ELECTION OF DIRECTORS (PROXY ITEM NO. 1)</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4">
              <w:r>
                <w:rPr>
                  <w:rStyle w:val="InternetLink"/>
                  <w:rFonts w:ascii="Times New Roman" w:hAnsi="Times New Roman"/>
                  <w:sz w:val="20"/>
                </w:rPr>
                <w:t>RATIFICATION OF APPOINTMENT OF INDEPENDENT REGISTERED PUBLIC ACCOUNTING FIRM (PROXY ITEM NO. 2)</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5">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6">
              <w:r>
                <w:rPr>
                  <w:rStyle w:val="InternetLink"/>
                  <w:rFonts w:ascii="Times New Roman" w:hAnsi="Times New Roman"/>
                  <w:sz w:val="20"/>
                </w:rPr>
                <w:t>COMPENSATION DISCUSSION &amp; ANALYSIS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7">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8">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29">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0">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1">
              <w:r>
                <w:rPr>
                  <w:rStyle w:val="InternetLink"/>
                  <w:rFonts w:ascii="Times New Roman" w:hAnsi="Times New Roman"/>
                  <w:sz w:val="20"/>
                </w:rPr>
                <w:t>Grants of Plan-Based Awards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2">
              <w:r>
                <w:rPr>
                  <w:rStyle w:val="InternetLink"/>
                  <w:rFonts w:ascii="Times New Roman" w:hAnsi="Times New Roman"/>
                  <w:sz w:val="20"/>
                </w:rPr>
                <w:t>Outstanding Equity Awards at September 30, 2025</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3">
              <w:r>
                <w:rPr>
                  <w:rStyle w:val="InternetLink"/>
                  <w:rFonts w:ascii="Times New Roman" w:hAnsi="Times New Roman"/>
                  <w:sz w:val="20"/>
                </w:rPr>
                <w:t>Option Exercises and Stock Vested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4">
              <w:r>
                <w:rPr>
                  <w:rStyle w:val="InternetLink"/>
                  <w:rFonts w:ascii="Times New Roman" w:hAnsi="Times New Roman"/>
                  <w:sz w:val="20"/>
                </w:rPr>
                <w:t>Potential Payments Upon Termination of Employment or Change in Control</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5">
              <w:r>
                <w:rPr>
                  <w:rStyle w:val="InternetLink"/>
                  <w:rFonts w:ascii="Times New Roman" w:hAnsi="Times New Roman"/>
                  <w:i/>
                  <w:sz w:val="20"/>
                </w:rPr>
                <w:t>Potential Payments under the Severance and Change in Control Agreements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6">
              <w:r>
                <w:rPr>
                  <w:rStyle w:val="InternetLink"/>
                  <w:rFonts w:ascii="Times New Roman" w:hAnsi="Times New Roman"/>
                  <w:i/>
                  <w:sz w:val="20"/>
                </w:rPr>
                <w:t>Equity Grant Agreements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7">
              <w:r>
                <w:rPr>
                  <w:rStyle w:val="InternetLink"/>
                  <w:rFonts w:ascii="Times New Roman" w:hAnsi="Times New Roman"/>
                  <w:i/>
                  <w:sz w:val="20"/>
                </w:rPr>
                <w:t>Employment Agreements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8">
              <w:r>
                <w:rPr>
                  <w:rStyle w:val="InternetLink"/>
                  <w:rFonts w:ascii="Times New Roman" w:hAnsi="Times New Roman"/>
                  <w:sz w:val="20"/>
                </w:rPr>
                <w:t>Director Compensation for the Fiscal Year Ended September 30, 2025</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39">
              <w:r>
                <w:rPr>
                  <w:rStyle w:val="InternetLink"/>
                  <w:rFonts w:ascii="Times New Roman" w:hAnsi="Times New Roman"/>
                  <w:sz w:val="20"/>
                </w:rPr>
                <w:t>CEO PAY RATIO</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0">
              <w:r>
                <w:rPr>
                  <w:rStyle w:val="InternetLink"/>
                  <w:rFonts w:ascii="Times New Roman" w:hAnsi="Times New Roman"/>
                  <w:sz w:val="20"/>
                </w:rPr>
                <w:t>SECURITY OWNERSHIP OF CERTAIN STOCKHOLDERS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1">
              <w:r>
                <w:rPr>
                  <w:rStyle w:val="InternetLink"/>
                  <w:rFonts w:ascii="Times New Roman" w:hAnsi="Times New Roman"/>
                  <w:sz w:val="20"/>
                </w:rPr>
                <w:t>Security Ownership of Certain Beneficial Owners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2">
              <w:r>
                <w:rPr>
                  <w:rStyle w:val="InternetLink"/>
                  <w:rFonts w:ascii="Times New Roman" w:hAnsi="Times New Roman"/>
                  <w:sz w:val="20"/>
                </w:rPr>
                <w:t>Security Ownership of Management</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3">
              <w:r>
                <w:rPr>
                  <w:rStyle w:val="InternetLink"/>
                  <w:rFonts w:ascii="Times New Roman" w:hAnsi="Times New Roman"/>
                  <w:sz w:val="20"/>
                </w:rPr>
                <w:t>Delinquent Section 16(a) Reports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4">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5">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6">
              <w:r>
                <w:rPr>
                  <w:rStyle w:val="InternetLink"/>
                  <w:rFonts w:ascii="Times New Roman" w:hAnsi="Times New Roman"/>
                  <w:sz w:val="20"/>
                </w:rPr>
                <w:t>Policies and Procedures Governing Related Party Transactions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30979_47">
              <w:r>
                <w:rPr>
                  <w:rStyle w:val="InternetLink"/>
                  <w:rFonts w:ascii="Times New Roman" w:hAnsi="Times New Roman"/>
                  <w:sz w:val="20"/>
                </w:rPr>
                <w:t>Related Party Transactions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65" w:type="dxa"/>
        <w:jc w:val="left"/>
        <w:tblInd w:w="0" w:type="dxa"/>
        <w:tblLayout w:type="fixed"/>
        <w:tblCellMar>
          <w:top w:w="0" w:type="dxa"/>
          <w:left w:w="0" w:type="dxa"/>
          <w:bottom w:w="0" w:type="dxa"/>
          <w:right w:w="0" w:type="dxa"/>
        </w:tblCellMar>
      </w:tblPr>
      <w:tblGrid>
        <w:gridCol w:w="7385"/>
        <w:gridCol w:w="120"/>
        <w:gridCol w:w="90"/>
        <w:gridCol w:w="395"/>
        <w:gridCol w:w="75"/>
      </w:tblGrid>
      <w:tr>
        <w:trPr/>
        <w:tc>
          <w:tcPr>
            <w:tcW w:w="7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48">
              <w:r>
                <w:rPr>
                  <w:rStyle w:val="InternetLink"/>
                  <w:rFonts w:ascii="Times New Roman" w:hAnsi="Times New Roman"/>
                  <w:sz w:val="20"/>
                </w:rPr>
                <w:t>PAY VERSUS PERFORMANCE DISCLOSURE</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49">
              <w:r>
                <w:rPr>
                  <w:rStyle w:val="InternetLink"/>
                  <w:rFonts w:ascii="Times New Roman" w:hAnsi="Times New Roman"/>
                  <w:sz w:val="20"/>
                </w:rPr>
                <w:t>NON-BINDING ADVISORY VOTE ON EXECUTIVE COMPENSATION (Proxy Item No. 3)</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0">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1">
              <w:r>
                <w:rPr>
                  <w:rStyle w:val="InternetLink"/>
                  <w:rFonts w:ascii="Times New Roman" w:hAnsi="Times New Roman"/>
                  <w:sz w:val="20"/>
                </w:rPr>
                <w:t>Proxy Solicitation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2">
              <w:r>
                <w:rPr>
                  <w:rStyle w:val="InternetLink"/>
                  <w:rFonts w:ascii="Times New Roman" w:hAnsi="Times New Roman"/>
                  <w:sz w:val="20"/>
                </w:rPr>
                <w:t>Stockholder Director Nominations and Proposals for the 2027 Annual Meeting</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3">
              <w:r>
                <w:rPr>
                  <w:rStyle w:val="InternetLink"/>
                  <w:rFonts w:ascii="Times New Roman" w:hAnsi="Times New Roman"/>
                  <w:sz w:val="20"/>
                </w:rPr>
                <w:t>Form 10-K and Other Filings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4">
              <w:r>
                <w:rPr>
                  <w:rStyle w:val="InternetLink"/>
                  <w:rFonts w:ascii="Times New Roman" w:hAnsi="Times New Roman"/>
                  <w:sz w:val="20"/>
                </w:rPr>
                <w:t>Internet Availability of Proxy Materials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5">
              <w:r>
                <w:rPr>
                  <w:rStyle w:val="InternetLink"/>
                  <w:rFonts w:ascii="Times New Roman" w:hAnsi="Times New Roman"/>
                  <w:sz w:val="20"/>
                </w:rPr>
                <w:t>List of Stockholders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0"/>
              <w:jc w:val="left"/>
              <w:rPr/>
            </w:pPr>
            <w:hyperlink w:anchor="toc30979_56">
              <w:r>
                <w:rPr>
                  <w:rStyle w:val="InternetLink"/>
                  <w:rFonts w:ascii="Times New Roman" w:hAnsi="Times New Roman"/>
                  <w:sz w:val="20"/>
                </w:rPr>
                <w:t>Householding</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30979_1"/>
      <w:bookmarkEnd w:id="3"/>
      <w:r>
        <w:rPr>
          <w:rFonts w:ascii="Times New Roman" w:hAnsi="Times New Roman"/>
          <w:b/>
          <w:sz w:val="20"/>
        </w:rPr>
        <w:t xml:space="preserve">PROXY STATEMENT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information contained elsewhere in this proxy statement. This summary is not a complete description, and you should read the entire proxy statement carefully before voting.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2"/>
        <w:gridCol w:w="60"/>
        <w:gridCol w:w="8543"/>
      </w:tblGrid>
      <w:tr>
        <w:trPr/>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43" w:type="dxa"/>
            <w:tcBorders/>
            <w:vAlign w:val="center"/>
          </w:tcPr>
          <w:p>
            <w:pPr>
              <w:pStyle w:val="TableContents"/>
              <w:bidi w:val="0"/>
              <w:spacing w:before="0" w:after="283"/>
              <w:jc w:val="left"/>
              <w:rPr>
                <w:sz w:val="4"/>
                <w:szCs w:val="4"/>
              </w:rPr>
            </w:pPr>
            <w:r>
              <w:rPr>
                <w:sz w:val="4"/>
                <w:szCs w:val="4"/>
              </w:rPr>
            </w:r>
          </w:p>
        </w:tc>
      </w:tr>
      <w:tr>
        <w:trPr/>
        <w:tc>
          <w:tcPr>
            <w:tcW w:w="1602" w:type="dxa"/>
            <w:tcBorders/>
            <w:vAlign w:val="center"/>
          </w:tcPr>
          <w:p>
            <w:pPr>
              <w:pStyle w:val="TableContents"/>
              <w:bidi w:val="0"/>
              <w:spacing w:before="0" w:after="283"/>
              <w:jc w:val="left"/>
              <w:rPr>
                <w:b/>
              </w:rPr>
            </w:pPr>
            <w:r>
              <w:rPr>
                <w:b/>
              </w:rPr>
              <w:t>Time and Date:</w:t>
            </w:r>
          </w:p>
        </w:tc>
        <w:tc>
          <w:tcPr>
            <w:tcW w:w="60" w:type="dxa"/>
            <w:tcBorders/>
            <w:vAlign w:val="center"/>
          </w:tcPr>
          <w:p>
            <w:pPr>
              <w:pStyle w:val="TableContents"/>
              <w:bidi w:val="0"/>
              <w:spacing w:before="0" w:after="283"/>
              <w:jc w:val="left"/>
              <w:rPr/>
            </w:pPr>
            <w:r>
              <w:rPr/>
              <w:t> </w:t>
            </w:r>
          </w:p>
        </w:tc>
        <w:tc>
          <w:tcPr>
            <w:tcW w:w="8543" w:type="dxa"/>
            <w:tcBorders/>
            <w:vAlign w:val="center"/>
          </w:tcPr>
          <w:p>
            <w:pPr>
              <w:pStyle w:val="TableContents"/>
              <w:bidi w:val="0"/>
              <w:spacing w:before="0" w:after="283"/>
              <w:jc w:val="left"/>
              <w:rPr/>
            </w:pPr>
            <w:r>
              <w:rPr/>
              <w:t>9:00 a.m. Central Time, on Wednesday, January 28, 2026</w:t>
            </w:r>
          </w:p>
        </w:tc>
      </w:tr>
      <w:tr>
        <w:trPr/>
        <w:tc>
          <w:tcPr>
            <w:tcW w:w="1602" w:type="dxa"/>
            <w:tcBorders/>
            <w:vAlign w:val="center"/>
          </w:tcPr>
          <w:p>
            <w:pPr>
              <w:pStyle w:val="TableContents"/>
              <w:bidi w:val="0"/>
              <w:spacing w:before="0" w:after="283"/>
              <w:jc w:val="left"/>
              <w:rPr>
                <w:b/>
              </w:rPr>
            </w:pPr>
            <w:r>
              <w:rPr>
                <w:b/>
              </w:rPr>
              <w:t>Website:</w:t>
            </w:r>
          </w:p>
        </w:tc>
        <w:tc>
          <w:tcPr>
            <w:tcW w:w="60" w:type="dxa"/>
            <w:tcBorders/>
            <w:vAlign w:val="center"/>
          </w:tcPr>
          <w:p>
            <w:pPr>
              <w:pStyle w:val="TableContents"/>
              <w:bidi w:val="0"/>
              <w:spacing w:before="0" w:after="283"/>
              <w:jc w:val="left"/>
              <w:rPr/>
            </w:pPr>
            <w:r>
              <w:rPr/>
              <w:t> </w:t>
            </w:r>
          </w:p>
        </w:tc>
        <w:tc>
          <w:tcPr>
            <w:tcW w:w="8543"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www.meetnow.global/MADH4W4</w:t>
            </w:r>
          </w:p>
        </w:tc>
      </w:tr>
      <w:tr>
        <w:trPr/>
        <w:tc>
          <w:tcPr>
            <w:tcW w:w="1602" w:type="dxa"/>
            <w:tcBorders/>
            <w:vAlign w:val="center"/>
          </w:tcPr>
          <w:p>
            <w:pPr>
              <w:pStyle w:val="TableContents"/>
              <w:bidi w:val="0"/>
              <w:spacing w:before="0" w:after="283"/>
              <w:jc w:val="left"/>
              <w:rPr>
                <w:b/>
              </w:rPr>
            </w:pPr>
            <w:r>
              <w:rPr>
                <w:b/>
              </w:rPr>
              <w:t>Record Date:</w:t>
            </w:r>
          </w:p>
        </w:tc>
        <w:tc>
          <w:tcPr>
            <w:tcW w:w="60" w:type="dxa"/>
            <w:tcBorders/>
            <w:vAlign w:val="center"/>
          </w:tcPr>
          <w:p>
            <w:pPr>
              <w:pStyle w:val="TableContents"/>
              <w:bidi w:val="0"/>
              <w:spacing w:before="0" w:after="283"/>
              <w:jc w:val="left"/>
              <w:rPr/>
            </w:pPr>
            <w:r>
              <w:rPr/>
              <w:t> </w:t>
            </w:r>
          </w:p>
        </w:tc>
        <w:tc>
          <w:tcPr>
            <w:tcW w:w="8543" w:type="dxa"/>
            <w:tcBorders/>
            <w:vAlign w:val="center"/>
          </w:tcPr>
          <w:p>
            <w:pPr>
              <w:pStyle w:val="TableContents"/>
              <w:bidi w:val="0"/>
              <w:spacing w:before="0" w:after="283"/>
              <w:jc w:val="left"/>
              <w:rPr/>
            </w:pPr>
            <w:r>
              <w:rPr/>
              <w:t>December 8, 2025</w:t>
            </w:r>
          </w:p>
        </w:tc>
      </w:tr>
      <w:tr>
        <w:trPr/>
        <w:tc>
          <w:tcPr>
            <w:tcW w:w="1602" w:type="dxa"/>
            <w:tcBorders/>
            <w:vAlign w:val="center"/>
          </w:tcPr>
          <w:p>
            <w:pPr>
              <w:pStyle w:val="TableContents"/>
              <w:bidi w:val="0"/>
              <w:spacing w:before="0" w:after="283"/>
              <w:jc w:val="left"/>
              <w:rPr>
                <w:b/>
              </w:rPr>
            </w:pPr>
            <w:r>
              <w:rPr>
                <w:b/>
              </w:rPr>
              <w:t>Voting:</w:t>
            </w:r>
          </w:p>
        </w:tc>
        <w:tc>
          <w:tcPr>
            <w:tcW w:w="60" w:type="dxa"/>
            <w:tcBorders/>
            <w:vAlign w:val="center"/>
          </w:tcPr>
          <w:p>
            <w:pPr>
              <w:pStyle w:val="TableContents"/>
              <w:bidi w:val="0"/>
              <w:spacing w:before="0" w:after="283"/>
              <w:jc w:val="left"/>
              <w:rPr/>
            </w:pPr>
            <w:r>
              <w:rPr/>
              <w:t> </w:t>
            </w:r>
          </w:p>
        </w:tc>
        <w:tc>
          <w:tcPr>
            <w:tcW w:w="8543" w:type="dxa"/>
            <w:tcBorders/>
            <w:vAlign w:val="center"/>
          </w:tcPr>
          <w:p>
            <w:pPr>
              <w:pStyle w:val="TableContents"/>
              <w:bidi w:val="0"/>
              <w:spacing w:before="0" w:after="283"/>
              <w:jc w:val="left"/>
              <w:rPr/>
            </w:pPr>
            <w:r>
              <w:rPr/>
              <w:t>Stockholders on the record date are entitled to one vote per share on each matter to be voted upon at the annual meeting.</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VOTING ITEM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5"/>
        <w:gridCol w:w="120"/>
        <w:gridCol w:w="6770"/>
        <w:gridCol w:w="120"/>
        <w:gridCol w:w="1595"/>
        <w:gridCol w:w="120"/>
        <w:gridCol w:w="195"/>
        <w:gridCol w:w="845"/>
        <w:gridCol w:w="75"/>
      </w:tblGrid>
      <w:tr>
        <w:trPr/>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Item</w:t>
            </w:r>
          </w:p>
        </w:tc>
        <w:tc>
          <w:tcPr>
            <w:tcW w:w="12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w:t>
              <w:br/>
              <w:t>Recommendation</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br/>
              <w:t>Reference</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4"/>
                <w:szCs w:val="4"/>
              </w:rPr>
            </w:pPr>
            <w:r>
              <w:rPr>
                <w:sz w:val="4"/>
                <w:szCs w:val="4"/>
              </w:rPr>
            </w:r>
          </w:p>
        </w:tc>
        <w:tc>
          <w:tcPr>
            <w:tcW w:w="6890"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shd w:fill="CCEEFF" w:val="clear"/>
            <w:vAlign w:val="center"/>
          </w:tcPr>
          <w:p>
            <w:pPr>
              <w:pStyle w:val="TableContents"/>
              <w:bidi w:val="0"/>
              <w:spacing w:before="0" w:after="283"/>
              <w:jc w:val="left"/>
              <w:rPr/>
            </w:pPr>
            <w:r>
              <w:rPr/>
              <w:t>1</w:t>
            </w:r>
          </w:p>
        </w:tc>
        <w:tc>
          <w:tcPr>
            <w:tcW w:w="120" w:type="dxa"/>
            <w:tcBorders/>
            <w:shd w:fill="CCEEFF" w:val="clear"/>
            <w:vAlign w:val="center"/>
          </w:tcPr>
          <w:p>
            <w:pPr>
              <w:pStyle w:val="TableContents"/>
              <w:bidi w:val="0"/>
              <w:spacing w:before="0" w:after="283"/>
              <w:jc w:val="left"/>
              <w:rPr/>
            </w:pPr>
            <w:r>
              <w:rPr/>
              <w:t>  </w:t>
            </w:r>
          </w:p>
        </w:tc>
        <w:tc>
          <w:tcPr>
            <w:tcW w:w="6770" w:type="dxa"/>
            <w:tcBorders/>
            <w:shd w:fill="CCEEFF" w:val="clear"/>
            <w:vAlign w:val="center"/>
          </w:tcPr>
          <w:p>
            <w:pPr>
              <w:pStyle w:val="TableContents"/>
              <w:bidi w:val="0"/>
              <w:spacing w:before="0" w:after="283"/>
              <w:jc w:val="left"/>
              <w:rPr/>
            </w:pPr>
            <w:r>
              <w:rPr/>
              <w:t>Election of Five Directors</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For all nominees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4"/>
                <w:szCs w:val="4"/>
              </w:rPr>
            </w:pPr>
            <w:r>
              <w:rPr>
                <w:sz w:val="4"/>
                <w:szCs w:val="4"/>
              </w:rPr>
            </w:r>
          </w:p>
        </w:tc>
        <w:tc>
          <w:tcPr>
            <w:tcW w:w="6890"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Ratification of the Appointment of PricewaterhouseCoopers LLP as our Independent Registered Public Accounting Firm for the fiscal year ending September 30, 2026</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For</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4"/>
                <w:szCs w:val="4"/>
              </w:rPr>
            </w:pPr>
            <w:r>
              <w:rPr>
                <w:sz w:val="4"/>
                <w:szCs w:val="4"/>
              </w:rPr>
            </w:r>
          </w:p>
        </w:tc>
        <w:tc>
          <w:tcPr>
            <w:tcW w:w="6890"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shd w:fill="CCEEFF" w:val="clear"/>
            <w:vAlign w:val="center"/>
          </w:tcPr>
          <w:p>
            <w:pPr>
              <w:pStyle w:val="TableContents"/>
              <w:bidi w:val="0"/>
              <w:spacing w:before="0" w:after="283"/>
              <w:jc w:val="left"/>
              <w:rPr/>
            </w:pPr>
            <w:r>
              <w:rPr/>
              <w:t>3</w:t>
            </w:r>
          </w:p>
        </w:tc>
        <w:tc>
          <w:tcPr>
            <w:tcW w:w="120" w:type="dxa"/>
            <w:tcBorders/>
            <w:shd w:fill="CCEEFF" w:val="clear"/>
            <w:vAlign w:val="center"/>
          </w:tcPr>
          <w:p>
            <w:pPr>
              <w:pStyle w:val="TableContents"/>
              <w:bidi w:val="0"/>
              <w:spacing w:before="0" w:after="283"/>
              <w:jc w:val="left"/>
              <w:rPr/>
            </w:pPr>
            <w:r>
              <w:rPr/>
              <w:t>  </w:t>
            </w:r>
          </w:p>
        </w:tc>
        <w:tc>
          <w:tcPr>
            <w:tcW w:w="6770" w:type="dxa"/>
            <w:tcBorders/>
            <w:shd w:fill="CCEEFF" w:val="clear"/>
            <w:vAlign w:val="center"/>
          </w:tcPr>
          <w:p>
            <w:pPr>
              <w:pStyle w:val="TableContents"/>
              <w:bidi w:val="0"/>
              <w:spacing w:before="0" w:after="283"/>
              <w:jc w:val="left"/>
              <w:rPr/>
            </w:pPr>
            <w:r>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For</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Election of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director nominee as of November 7, 2025. At our annual meeting of stockholders in January 2025, stockholders approved an amendment to our certificate of incorporation to declassify our Board of Directors over a three-year phase-in period commencing at last year’s annual meeting of stockholders. Accordingly, at our annual meeting, stockholders will be asked to elect the five director nominees in Class I and Class III listed in the table below. The Board unanimously recommends a vote FOR each nominee. </w:t>
      </w:r>
    </w:p>
    <w:p>
      <w:pPr>
        <w:pStyle w:val="TextBody"/>
        <w:bidi w:val="0"/>
        <w:spacing w:before="360" w:after="0"/>
        <w:jc w:val="left"/>
        <w:rPr>
          <w:rFonts w:ascii="Times New Roman" w:hAnsi="Times New Roman"/>
          <w:b/>
          <w:sz w:val="20"/>
        </w:rPr>
      </w:pPr>
      <w:r>
        <w:rPr>
          <w:rFonts w:ascii="Times New Roman" w:hAnsi="Times New Roman"/>
          <w:b/>
          <w:sz w:val="20"/>
        </w:rPr>
        <w:t xml:space="preserve">Class I and Class III - Directors whose terms expire at the 2026 annual meeting of stockholders and who are nominees for terms expiring at the 2027 annual meeting, or in the case of Mr. Stein, through the date of his previously announced retirement on September 30,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7"/>
        <w:gridCol w:w="60"/>
        <w:gridCol w:w="875"/>
        <w:gridCol w:w="60"/>
        <w:gridCol w:w="4802"/>
        <w:gridCol w:w="60"/>
        <w:gridCol w:w="905"/>
        <w:gridCol w:w="60"/>
        <w:gridCol w:w="260"/>
        <w:gridCol w:w="60"/>
        <w:gridCol w:w="515"/>
        <w:gridCol w:w="60"/>
        <w:gridCol w:w="261"/>
      </w:tblGrid>
      <w:tr>
        <w:trPr/>
        <w:tc>
          <w:tcPr>
            <w:tcW w:w="2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227" w:type="dxa"/>
            <w:vMerge w:val="restart"/>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60" w:type="dxa"/>
            <w:vMerge w:val="restart"/>
            <w:tcBorders/>
            <w:vAlign w:val="center"/>
          </w:tcPr>
          <w:p>
            <w:pPr>
              <w:pStyle w:val="TableContents"/>
              <w:bidi w:val="0"/>
              <w:spacing w:before="0" w:after="283"/>
              <w:jc w:val="left"/>
              <w:rPr/>
            </w:pPr>
            <w:r>
              <w:rPr/>
              <w:t> </w:t>
            </w:r>
          </w:p>
        </w:tc>
        <w:tc>
          <w:tcPr>
            <w:tcW w:w="875" w:type="dxa"/>
            <w:vMerge w:val="restart"/>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60" w:type="dxa"/>
            <w:vMerge w:val="restart"/>
            <w:tcBorders/>
            <w:vAlign w:val="center"/>
          </w:tcPr>
          <w:p>
            <w:pPr>
              <w:pStyle w:val="TableContents"/>
              <w:bidi w:val="0"/>
              <w:spacing w:before="0" w:after="283"/>
              <w:jc w:val="left"/>
              <w:rPr/>
            </w:pPr>
            <w:r>
              <w:rPr/>
              <w:t> </w:t>
            </w:r>
          </w:p>
        </w:tc>
        <w:tc>
          <w:tcPr>
            <w:tcW w:w="4802" w:type="dxa"/>
            <w:vMerge w:val="restart"/>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Occupation and Experience</w:t>
            </w:r>
          </w:p>
        </w:tc>
        <w:tc>
          <w:tcPr>
            <w:tcW w:w="60" w:type="dxa"/>
            <w:tcBorders/>
            <w:vAlign w:val="center"/>
          </w:tcPr>
          <w:p>
            <w:pPr>
              <w:pStyle w:val="TableContents"/>
              <w:bidi w:val="0"/>
              <w:spacing w:before="0" w:after="283"/>
              <w:jc w:val="left"/>
              <w:rPr/>
            </w:pPr>
            <w:r>
              <w:rPr/>
              <w:t> </w:t>
            </w:r>
          </w:p>
        </w:tc>
        <w:tc>
          <w:tcPr>
            <w:tcW w:w="2121" w:type="dxa"/>
            <w:gridSpan w:val="7"/>
            <w:tcBorders>
              <w:bottom w:val="single" w:sz="8" w:space="0" w:color="000000"/>
            </w:tcBorders>
            <w:tcMar>
              <w:bottom w:w="28" w:type="dxa"/>
            </w:tcMar>
            <w:vAlign w:val="center"/>
          </w:tcPr>
          <w:p>
            <w:pPr>
              <w:pStyle w:val="TableContents"/>
              <w:bidi w:val="0"/>
              <w:spacing w:lineRule="atLeast" w:line="142" w:before="0" w:after="20"/>
              <w:jc w:val="center"/>
              <w:rPr>
                <w:rFonts w:ascii="Times New Roman" w:hAnsi="Times New Roman"/>
                <w:b/>
                <w:sz w:val="16"/>
              </w:rPr>
            </w:pPr>
            <w:r>
              <w:rPr>
                <w:rFonts w:ascii="Times New Roman" w:hAnsi="Times New Roman"/>
                <w:b/>
                <w:sz w:val="16"/>
              </w:rPr>
              <w:t>Board Committees(1)</w:t>
            </w:r>
          </w:p>
        </w:tc>
      </w:tr>
      <w:tr>
        <w:trPr/>
        <w:tc>
          <w:tcPr>
            <w:tcW w:w="2227"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7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802" w:type="dxa"/>
            <w:vMerge w:val="continue"/>
            <w:tcBorders>
              <w:bottom w:val="single"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Independent</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w:t>
            </w:r>
          </w:p>
        </w:tc>
        <w:tc>
          <w:tcPr>
            <w:tcW w:w="6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CGCC</w:t>
            </w:r>
          </w:p>
        </w:tc>
        <w:tc>
          <w:tcPr>
            <w:tcW w:w="6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EC</w:t>
            </w:r>
          </w:p>
        </w:tc>
      </w:tr>
      <w:tr>
        <w:trPr/>
        <w:tc>
          <w:tcPr>
            <w:tcW w:w="2227" w:type="dxa"/>
            <w:tcBorders/>
            <w:shd w:fill="ABD8EA" w:val="clear"/>
            <w:vAlign w:val="center"/>
          </w:tcPr>
          <w:p>
            <w:pPr>
              <w:pStyle w:val="TableContents"/>
              <w:bidi w:val="0"/>
              <w:spacing w:before="0" w:after="283"/>
              <w:jc w:val="left"/>
              <w:rPr>
                <w:sz w:val="4"/>
                <w:szCs w:val="4"/>
              </w:rPr>
            </w:pPr>
            <w:r>
              <w:rPr>
                <w:sz w:val="4"/>
                <w:szCs w:val="4"/>
              </w:rPr>
            </w:r>
          </w:p>
        </w:tc>
        <w:tc>
          <w:tcPr>
            <w:tcW w:w="935" w:type="dxa"/>
            <w:gridSpan w:val="2"/>
            <w:tcBorders/>
            <w:shd w:fill="ABD8EA" w:val="clear"/>
            <w:vAlign w:val="center"/>
          </w:tcPr>
          <w:p>
            <w:pPr>
              <w:pStyle w:val="TableContents"/>
              <w:bidi w:val="0"/>
              <w:spacing w:before="0" w:after="283"/>
              <w:jc w:val="left"/>
              <w:rPr>
                <w:sz w:val="4"/>
                <w:szCs w:val="4"/>
              </w:rPr>
            </w:pPr>
            <w:r>
              <w:rPr>
                <w:sz w:val="4"/>
                <w:szCs w:val="4"/>
              </w:rPr>
            </w:r>
          </w:p>
        </w:tc>
        <w:tc>
          <w:tcPr>
            <w:tcW w:w="4862" w:type="dxa"/>
            <w:gridSpan w:val="2"/>
            <w:tcBorders/>
            <w:shd w:fill="ABD8EA" w:val="clear"/>
            <w:vAlign w:val="center"/>
          </w:tcPr>
          <w:p>
            <w:pPr>
              <w:pStyle w:val="TableContents"/>
              <w:bidi w:val="0"/>
              <w:spacing w:before="0" w:after="283"/>
              <w:jc w:val="left"/>
              <w:rPr>
                <w:sz w:val="4"/>
                <w:szCs w:val="4"/>
              </w:rPr>
            </w:pPr>
            <w:r>
              <w:rPr>
                <w:sz w:val="4"/>
                <w:szCs w:val="4"/>
              </w:rPr>
            </w:r>
          </w:p>
        </w:tc>
        <w:tc>
          <w:tcPr>
            <w:tcW w:w="965"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575" w:type="dxa"/>
            <w:gridSpan w:val="2"/>
            <w:tcBorders/>
            <w:shd w:fill="ABD8EA" w:val="clear"/>
            <w:vAlign w:val="center"/>
          </w:tcPr>
          <w:p>
            <w:pPr>
              <w:pStyle w:val="TableContents"/>
              <w:bidi w:val="0"/>
              <w:spacing w:before="0" w:after="283"/>
              <w:jc w:val="left"/>
              <w:rPr>
                <w:sz w:val="4"/>
                <w:szCs w:val="4"/>
              </w:rPr>
            </w:pPr>
            <w:r>
              <w:rPr>
                <w:sz w:val="4"/>
                <w:szCs w:val="4"/>
              </w:rPr>
            </w:r>
          </w:p>
        </w:tc>
        <w:tc>
          <w:tcPr>
            <w:tcW w:w="32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227" w:type="dxa"/>
            <w:tcBorders/>
            <w:shd w:fill="ABD8EA" w:val="clear"/>
            <w:vAlign w:val="center"/>
          </w:tcPr>
          <w:p>
            <w:pPr>
              <w:pStyle w:val="TableContents"/>
              <w:bidi w:val="0"/>
              <w:spacing w:before="0" w:after="283"/>
              <w:jc w:val="left"/>
              <w:rPr/>
            </w:pPr>
            <w:r>
              <w:rPr/>
              <w:t>Robert V. Vitale</w:t>
            </w:r>
          </w:p>
        </w:tc>
        <w:tc>
          <w:tcPr>
            <w:tcW w:w="60" w:type="dxa"/>
            <w:tcBorders/>
            <w:shd w:fill="ABD8EA" w:val="clear"/>
            <w:vAlign w:val="center"/>
          </w:tcPr>
          <w:p>
            <w:pPr>
              <w:pStyle w:val="TableContents"/>
              <w:bidi w:val="0"/>
              <w:spacing w:before="0" w:after="283"/>
              <w:jc w:val="left"/>
              <w:rPr/>
            </w:pPr>
            <w:r>
              <w:rPr/>
              <w:t> </w:t>
            </w:r>
          </w:p>
        </w:tc>
        <w:tc>
          <w:tcPr>
            <w:tcW w:w="875" w:type="dxa"/>
            <w:tcBorders/>
            <w:shd w:fill="ABD8EA" w:val="clear"/>
            <w:vAlign w:val="center"/>
          </w:tcPr>
          <w:p>
            <w:pPr>
              <w:pStyle w:val="TableContents"/>
              <w:bidi w:val="0"/>
              <w:spacing w:before="0" w:after="283"/>
              <w:jc w:val="center"/>
              <w:rPr/>
            </w:pPr>
            <w:r>
              <w:rPr/>
              <w:t>2019</w:t>
            </w:r>
          </w:p>
        </w:tc>
        <w:tc>
          <w:tcPr>
            <w:tcW w:w="60" w:type="dxa"/>
            <w:tcBorders/>
            <w:shd w:fill="ABD8EA" w:val="clear"/>
            <w:vAlign w:val="center"/>
          </w:tcPr>
          <w:p>
            <w:pPr>
              <w:pStyle w:val="TableContents"/>
              <w:bidi w:val="0"/>
              <w:spacing w:before="0" w:after="283"/>
              <w:jc w:val="left"/>
              <w:rPr/>
            </w:pPr>
            <w:r>
              <w:rPr/>
              <w:t> </w:t>
            </w:r>
          </w:p>
        </w:tc>
        <w:tc>
          <w:tcPr>
            <w:tcW w:w="4802" w:type="dxa"/>
            <w:tcBorders/>
            <w:shd w:fill="ABD8EA" w:val="clear"/>
            <w:vAlign w:val="center"/>
          </w:tcPr>
          <w:p>
            <w:pPr>
              <w:pStyle w:val="TableContents"/>
              <w:bidi w:val="0"/>
              <w:spacing w:before="0" w:after="283"/>
              <w:jc w:val="left"/>
              <w:rPr/>
            </w:pPr>
            <w:r>
              <w:rPr/>
              <w:t>President and CEO, Post Holdings, Inc.</w:t>
            </w:r>
          </w:p>
        </w:tc>
        <w:tc>
          <w:tcPr>
            <w:tcW w:w="60" w:type="dxa"/>
            <w:tcBorders/>
            <w:shd w:fill="ABD8EA" w:val="clear"/>
            <w:vAlign w:val="center"/>
          </w:tcPr>
          <w:p>
            <w:pPr>
              <w:pStyle w:val="TableContents"/>
              <w:bidi w:val="0"/>
              <w:spacing w:before="0" w:after="283"/>
              <w:jc w:val="left"/>
              <w:rPr/>
            </w:pPr>
            <w:r>
              <w:rPr/>
              <w:t> </w:t>
            </w:r>
          </w:p>
        </w:tc>
        <w:tc>
          <w:tcPr>
            <w:tcW w:w="905" w:type="dxa"/>
            <w:tcBorders/>
            <w:shd w:fill="ABD8EA" w:val="clear"/>
            <w:vAlign w:val="center"/>
          </w:tcPr>
          <w:p>
            <w:pPr>
              <w:pStyle w:val="TableContents"/>
              <w:bidi w:val="0"/>
              <w:spacing w:before="0" w:after="283"/>
              <w:jc w:val="center"/>
              <w:rPr/>
            </w:pPr>
            <w:r>
              <w:rPr/>
              <w:t>No</w:t>
            </w:r>
          </w:p>
        </w:tc>
        <w:tc>
          <w:tcPr>
            <w:tcW w:w="60" w:type="dxa"/>
            <w:tcBorders/>
            <w:shd w:fill="ABD8EA" w:val="clear"/>
            <w:vAlign w:val="center"/>
          </w:tcPr>
          <w:p>
            <w:pPr>
              <w:pStyle w:val="TableContents"/>
              <w:bidi w:val="0"/>
              <w:spacing w:before="0" w:after="283"/>
              <w:jc w:val="left"/>
              <w:rPr/>
            </w:pPr>
            <w:r>
              <w:rPr/>
              <w:t> </w:t>
            </w:r>
          </w:p>
        </w:tc>
        <w:tc>
          <w:tcPr>
            <w:tcW w:w="260" w:type="dxa"/>
            <w:tcBorders/>
            <w:shd w:fill="ABD8EA" w:val="clear"/>
            <w:vAlign w:val="center"/>
          </w:tcPr>
          <w:p>
            <w:pPr>
              <w:pStyle w:val="TableContents"/>
              <w:bidi w:val="0"/>
              <w:spacing w:before="0" w:after="0"/>
              <w:jc w:val="left"/>
              <w:rPr/>
            </w:pPr>
            <w:r>
              <w:rPr/>
              <w:t> </w:t>
            </w:r>
          </w:p>
        </w:tc>
        <w:tc>
          <w:tcPr>
            <w:tcW w:w="60" w:type="dxa"/>
            <w:tcBorders/>
            <w:shd w:fill="ABD8EA" w:val="clear"/>
            <w:vAlign w:val="center"/>
          </w:tcPr>
          <w:p>
            <w:pPr>
              <w:pStyle w:val="TableContents"/>
              <w:bidi w:val="0"/>
              <w:spacing w:before="0" w:after="283"/>
              <w:jc w:val="left"/>
              <w:rPr/>
            </w:pPr>
            <w:r>
              <w:rPr/>
              <w:t> </w:t>
            </w:r>
          </w:p>
        </w:tc>
        <w:tc>
          <w:tcPr>
            <w:tcW w:w="515" w:type="dxa"/>
            <w:tcBorders/>
            <w:shd w:fill="ABD8EA" w:val="clear"/>
            <w:vAlign w:val="center"/>
          </w:tcPr>
          <w:p>
            <w:pPr>
              <w:pStyle w:val="TableContents"/>
              <w:bidi w:val="0"/>
              <w:spacing w:before="0" w:after="0"/>
              <w:jc w:val="left"/>
              <w:rPr/>
            </w:pPr>
            <w:r>
              <w:rPr/>
              <w:t> </w:t>
            </w:r>
          </w:p>
        </w:tc>
        <w:tc>
          <w:tcPr>
            <w:tcW w:w="60" w:type="dxa"/>
            <w:tcBorders/>
            <w:shd w:fill="ABD8EA" w:val="clear"/>
            <w:vAlign w:val="center"/>
          </w:tcPr>
          <w:p>
            <w:pPr>
              <w:pStyle w:val="TableContents"/>
              <w:bidi w:val="0"/>
              <w:spacing w:before="0" w:after="283"/>
              <w:jc w:val="left"/>
              <w:rPr/>
            </w:pPr>
            <w:r>
              <w:rPr/>
              <w:t> </w:t>
            </w:r>
          </w:p>
        </w:tc>
        <w:tc>
          <w:tcPr>
            <w:tcW w:w="261" w:type="dxa"/>
            <w:tcBorders/>
            <w:shd w:fill="ABD8EA" w:val="clear"/>
            <w:vAlign w:val="center"/>
          </w:tcPr>
          <w:p>
            <w:pPr>
              <w:pStyle w:val="TableContents"/>
              <w:bidi w:val="0"/>
              <w:spacing w:before="0" w:after="283"/>
              <w:jc w:val="left"/>
              <w:rPr/>
            </w:pPr>
            <w:r>
              <w:rPr/>
              <w:t>✓</w:t>
            </w:r>
          </w:p>
        </w:tc>
      </w:tr>
      <w:tr>
        <w:trPr/>
        <w:tc>
          <w:tcPr>
            <w:tcW w:w="2227"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4862"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21" w:type="dxa"/>
            <w:gridSpan w:val="2"/>
            <w:tcBorders/>
            <w:vAlign w:val="center"/>
          </w:tcPr>
          <w:p>
            <w:pPr>
              <w:pStyle w:val="TableContents"/>
              <w:bidi w:val="0"/>
              <w:spacing w:before="0" w:after="283"/>
              <w:jc w:val="left"/>
              <w:rPr>
                <w:sz w:val="4"/>
                <w:szCs w:val="4"/>
              </w:rPr>
            </w:pPr>
            <w:r>
              <w:rPr>
                <w:sz w:val="4"/>
                <w:szCs w:val="4"/>
              </w:rPr>
            </w:r>
          </w:p>
        </w:tc>
      </w:tr>
      <w:tr>
        <w:trPr/>
        <w:tc>
          <w:tcPr>
            <w:tcW w:w="2227" w:type="dxa"/>
            <w:tcBorders/>
            <w:vAlign w:val="center"/>
          </w:tcPr>
          <w:p>
            <w:pPr>
              <w:pStyle w:val="TableContents"/>
              <w:bidi w:val="0"/>
              <w:spacing w:before="0" w:after="283"/>
              <w:jc w:val="left"/>
              <w:rPr/>
            </w:pPr>
            <w:r>
              <w:rPr/>
              <w:t>Darcy Horn Davenport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2019</w:t>
            </w:r>
          </w:p>
        </w:tc>
        <w:tc>
          <w:tcPr>
            <w:tcW w:w="60" w:type="dxa"/>
            <w:tcBorders/>
            <w:vAlign w:val="center"/>
          </w:tcPr>
          <w:p>
            <w:pPr>
              <w:pStyle w:val="TableContents"/>
              <w:bidi w:val="0"/>
              <w:spacing w:before="0" w:after="283"/>
              <w:jc w:val="left"/>
              <w:rPr/>
            </w:pPr>
            <w:r>
              <w:rPr/>
              <w:t> </w:t>
            </w:r>
          </w:p>
        </w:tc>
        <w:tc>
          <w:tcPr>
            <w:tcW w:w="4802" w:type="dxa"/>
            <w:tcBorders/>
            <w:vAlign w:val="center"/>
          </w:tcPr>
          <w:p>
            <w:pPr>
              <w:pStyle w:val="TableContents"/>
              <w:bidi w:val="0"/>
              <w:spacing w:before="0" w:after="283"/>
              <w:jc w:val="left"/>
              <w:rPr/>
            </w:pPr>
            <w:r>
              <w:rPr/>
              <w:t>President and CEO, BellRing Brands, Inc.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No</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pPr>
            <w:r>
              <w:rPr/>
              <w:t> </w:t>
            </w:r>
          </w:p>
        </w:tc>
      </w:tr>
      <w:tr>
        <w:trPr/>
        <w:tc>
          <w:tcPr>
            <w:tcW w:w="2227" w:type="dxa"/>
            <w:tcBorders/>
            <w:shd w:fill="ABD8EA" w:val="clear"/>
            <w:vAlign w:val="center"/>
          </w:tcPr>
          <w:p>
            <w:pPr>
              <w:pStyle w:val="TableContents"/>
              <w:bidi w:val="0"/>
              <w:spacing w:before="0" w:after="283"/>
              <w:jc w:val="left"/>
              <w:rPr>
                <w:sz w:val="4"/>
                <w:szCs w:val="4"/>
              </w:rPr>
            </w:pPr>
            <w:r>
              <w:rPr>
                <w:sz w:val="4"/>
                <w:szCs w:val="4"/>
              </w:rPr>
            </w:r>
          </w:p>
        </w:tc>
        <w:tc>
          <w:tcPr>
            <w:tcW w:w="935" w:type="dxa"/>
            <w:gridSpan w:val="2"/>
            <w:tcBorders/>
            <w:shd w:fill="ABD8EA" w:val="clear"/>
            <w:vAlign w:val="center"/>
          </w:tcPr>
          <w:p>
            <w:pPr>
              <w:pStyle w:val="TableContents"/>
              <w:bidi w:val="0"/>
              <w:spacing w:before="0" w:after="283"/>
              <w:jc w:val="left"/>
              <w:rPr>
                <w:sz w:val="4"/>
                <w:szCs w:val="4"/>
              </w:rPr>
            </w:pPr>
            <w:r>
              <w:rPr>
                <w:sz w:val="4"/>
                <w:szCs w:val="4"/>
              </w:rPr>
            </w:r>
          </w:p>
        </w:tc>
        <w:tc>
          <w:tcPr>
            <w:tcW w:w="4862" w:type="dxa"/>
            <w:gridSpan w:val="2"/>
            <w:tcBorders/>
            <w:shd w:fill="ABD8EA" w:val="clear"/>
            <w:vAlign w:val="center"/>
          </w:tcPr>
          <w:p>
            <w:pPr>
              <w:pStyle w:val="TableContents"/>
              <w:bidi w:val="0"/>
              <w:spacing w:before="0" w:after="283"/>
              <w:jc w:val="left"/>
              <w:rPr>
                <w:sz w:val="4"/>
                <w:szCs w:val="4"/>
              </w:rPr>
            </w:pPr>
            <w:r>
              <w:rPr>
                <w:sz w:val="4"/>
                <w:szCs w:val="4"/>
              </w:rPr>
            </w:r>
          </w:p>
        </w:tc>
        <w:tc>
          <w:tcPr>
            <w:tcW w:w="965"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575" w:type="dxa"/>
            <w:gridSpan w:val="2"/>
            <w:tcBorders/>
            <w:shd w:fill="ABD8EA" w:val="clear"/>
            <w:vAlign w:val="center"/>
          </w:tcPr>
          <w:p>
            <w:pPr>
              <w:pStyle w:val="TableContents"/>
              <w:bidi w:val="0"/>
              <w:spacing w:before="0" w:after="283"/>
              <w:jc w:val="left"/>
              <w:rPr>
                <w:sz w:val="4"/>
                <w:szCs w:val="4"/>
              </w:rPr>
            </w:pPr>
            <w:r>
              <w:rPr>
                <w:sz w:val="4"/>
                <w:szCs w:val="4"/>
              </w:rPr>
            </w:r>
          </w:p>
        </w:tc>
        <w:tc>
          <w:tcPr>
            <w:tcW w:w="32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227" w:type="dxa"/>
            <w:tcBorders/>
            <w:shd w:fill="ABD8EA" w:val="clear"/>
            <w:vAlign w:val="center"/>
          </w:tcPr>
          <w:p>
            <w:pPr>
              <w:pStyle w:val="TableContents"/>
              <w:bidi w:val="0"/>
              <w:spacing w:before="0" w:after="283"/>
              <w:jc w:val="left"/>
              <w:rPr/>
            </w:pPr>
            <w:r>
              <w:rPr/>
              <w:t>David I. Finkelstein</w:t>
            </w:r>
          </w:p>
        </w:tc>
        <w:tc>
          <w:tcPr>
            <w:tcW w:w="60" w:type="dxa"/>
            <w:tcBorders/>
            <w:shd w:fill="ABD8EA" w:val="clear"/>
            <w:vAlign w:val="center"/>
          </w:tcPr>
          <w:p>
            <w:pPr>
              <w:pStyle w:val="TableContents"/>
              <w:bidi w:val="0"/>
              <w:spacing w:before="0" w:after="283"/>
              <w:jc w:val="left"/>
              <w:rPr/>
            </w:pPr>
            <w:r>
              <w:rPr/>
              <w:t> </w:t>
            </w:r>
          </w:p>
        </w:tc>
        <w:tc>
          <w:tcPr>
            <w:tcW w:w="875" w:type="dxa"/>
            <w:tcBorders/>
            <w:shd w:fill="ABD8EA" w:val="clear"/>
            <w:vAlign w:val="center"/>
          </w:tcPr>
          <w:p>
            <w:pPr>
              <w:pStyle w:val="TableContents"/>
              <w:bidi w:val="0"/>
              <w:spacing w:before="0" w:after="283"/>
              <w:jc w:val="center"/>
              <w:rPr/>
            </w:pPr>
            <w:r>
              <w:rPr/>
              <w:t>2026(2)</w:t>
            </w:r>
          </w:p>
        </w:tc>
        <w:tc>
          <w:tcPr>
            <w:tcW w:w="60" w:type="dxa"/>
            <w:tcBorders/>
            <w:shd w:fill="ABD8EA" w:val="clear"/>
            <w:vAlign w:val="center"/>
          </w:tcPr>
          <w:p>
            <w:pPr>
              <w:pStyle w:val="TableContents"/>
              <w:bidi w:val="0"/>
              <w:spacing w:before="0" w:after="283"/>
              <w:jc w:val="left"/>
              <w:rPr/>
            </w:pPr>
            <w:r>
              <w:rPr/>
              <w:t> </w:t>
            </w:r>
          </w:p>
        </w:tc>
        <w:tc>
          <w:tcPr>
            <w:tcW w:w="4802" w:type="dxa"/>
            <w:tcBorders/>
            <w:shd w:fill="ABD8EA" w:val="clear"/>
            <w:vAlign w:val="center"/>
          </w:tcPr>
          <w:p>
            <w:pPr>
              <w:pStyle w:val="TableContents"/>
              <w:bidi w:val="0"/>
              <w:spacing w:before="0" w:after="283"/>
              <w:jc w:val="left"/>
              <w:rPr/>
            </w:pPr>
            <w:r>
              <w:rPr/>
              <w:t>Former Investment Banking Executive</w:t>
            </w:r>
          </w:p>
        </w:tc>
        <w:tc>
          <w:tcPr>
            <w:tcW w:w="60" w:type="dxa"/>
            <w:tcBorders/>
            <w:shd w:fill="ABD8EA" w:val="clear"/>
            <w:vAlign w:val="center"/>
          </w:tcPr>
          <w:p>
            <w:pPr>
              <w:pStyle w:val="TableContents"/>
              <w:bidi w:val="0"/>
              <w:spacing w:before="0" w:after="283"/>
              <w:jc w:val="left"/>
              <w:rPr/>
            </w:pPr>
            <w:r>
              <w:rPr/>
              <w:t> </w:t>
            </w:r>
          </w:p>
        </w:tc>
        <w:tc>
          <w:tcPr>
            <w:tcW w:w="905" w:type="dxa"/>
            <w:tcBorders/>
            <w:shd w:fill="ABD8EA" w:val="clear"/>
            <w:vAlign w:val="center"/>
          </w:tcPr>
          <w:p>
            <w:pPr>
              <w:pStyle w:val="TableContents"/>
              <w:bidi w:val="0"/>
              <w:spacing w:before="0" w:after="283"/>
              <w:jc w:val="center"/>
              <w:rPr/>
            </w:pPr>
            <w:r>
              <w:rPr/>
              <w:t>Yes</w:t>
            </w:r>
          </w:p>
        </w:tc>
        <w:tc>
          <w:tcPr>
            <w:tcW w:w="60" w:type="dxa"/>
            <w:tcBorders/>
            <w:shd w:fill="ABD8EA" w:val="clear"/>
            <w:vAlign w:val="center"/>
          </w:tcPr>
          <w:p>
            <w:pPr>
              <w:pStyle w:val="TableContents"/>
              <w:bidi w:val="0"/>
              <w:spacing w:before="0" w:after="283"/>
              <w:jc w:val="left"/>
              <w:rPr/>
            </w:pPr>
            <w:r>
              <w:rPr/>
              <w:t> </w:t>
            </w:r>
          </w:p>
        </w:tc>
        <w:tc>
          <w:tcPr>
            <w:tcW w:w="260" w:type="dxa"/>
            <w:tcBorders/>
            <w:shd w:fill="ABD8EA" w:val="clear"/>
            <w:vAlign w:val="center"/>
          </w:tcPr>
          <w:p>
            <w:pPr>
              <w:pStyle w:val="TableContents"/>
              <w:bidi w:val="0"/>
              <w:spacing w:before="0" w:after="283"/>
              <w:jc w:val="left"/>
              <w:rPr/>
            </w:pPr>
            <w:r>
              <w:rPr/>
              <w:t>✓</w:t>
            </w:r>
          </w:p>
        </w:tc>
        <w:tc>
          <w:tcPr>
            <w:tcW w:w="60" w:type="dxa"/>
            <w:tcBorders/>
            <w:shd w:fill="ABD8EA" w:val="clear"/>
            <w:vAlign w:val="center"/>
          </w:tcPr>
          <w:p>
            <w:pPr>
              <w:pStyle w:val="TableContents"/>
              <w:bidi w:val="0"/>
              <w:spacing w:before="0" w:after="283"/>
              <w:jc w:val="left"/>
              <w:rPr/>
            </w:pPr>
            <w:r>
              <w:rPr/>
              <w:t> </w:t>
            </w:r>
          </w:p>
        </w:tc>
        <w:tc>
          <w:tcPr>
            <w:tcW w:w="515" w:type="dxa"/>
            <w:tcBorders/>
            <w:shd w:fill="ABD8EA" w:val="clear"/>
            <w:vAlign w:val="center"/>
          </w:tcPr>
          <w:p>
            <w:pPr>
              <w:pStyle w:val="TableContents"/>
              <w:bidi w:val="0"/>
              <w:spacing w:before="0" w:after="0"/>
              <w:jc w:val="left"/>
              <w:rPr/>
            </w:pPr>
            <w:r>
              <w:rPr/>
              <w:t> </w:t>
            </w:r>
          </w:p>
        </w:tc>
        <w:tc>
          <w:tcPr>
            <w:tcW w:w="60" w:type="dxa"/>
            <w:tcBorders/>
            <w:shd w:fill="ABD8EA" w:val="clear"/>
            <w:vAlign w:val="center"/>
          </w:tcPr>
          <w:p>
            <w:pPr>
              <w:pStyle w:val="TableContents"/>
              <w:bidi w:val="0"/>
              <w:spacing w:before="0" w:after="283"/>
              <w:jc w:val="left"/>
              <w:rPr/>
            </w:pPr>
            <w:r>
              <w:rPr/>
              <w:t> </w:t>
            </w:r>
          </w:p>
        </w:tc>
        <w:tc>
          <w:tcPr>
            <w:tcW w:w="261" w:type="dxa"/>
            <w:tcBorders/>
            <w:shd w:fill="ABD8EA" w:val="clear"/>
            <w:vAlign w:val="center"/>
          </w:tcPr>
          <w:p>
            <w:pPr>
              <w:pStyle w:val="TableContents"/>
              <w:bidi w:val="0"/>
              <w:spacing w:before="0" w:after="0"/>
              <w:jc w:val="left"/>
              <w:rPr/>
            </w:pPr>
            <w:r>
              <w:rPr/>
              <w:t> </w:t>
            </w:r>
          </w:p>
        </w:tc>
      </w:tr>
      <w:tr>
        <w:trPr/>
        <w:tc>
          <w:tcPr>
            <w:tcW w:w="2227"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4862"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21" w:type="dxa"/>
            <w:gridSpan w:val="2"/>
            <w:tcBorders/>
            <w:vAlign w:val="center"/>
          </w:tcPr>
          <w:p>
            <w:pPr>
              <w:pStyle w:val="TableContents"/>
              <w:bidi w:val="0"/>
              <w:spacing w:before="0" w:after="283"/>
              <w:jc w:val="left"/>
              <w:rPr>
                <w:sz w:val="4"/>
                <w:szCs w:val="4"/>
              </w:rPr>
            </w:pPr>
            <w:r>
              <w:rPr>
                <w:sz w:val="4"/>
                <w:szCs w:val="4"/>
              </w:rPr>
            </w:r>
          </w:p>
        </w:tc>
      </w:tr>
      <w:tr>
        <w:trPr/>
        <w:tc>
          <w:tcPr>
            <w:tcW w:w="2227" w:type="dxa"/>
            <w:tcBorders/>
            <w:vAlign w:val="center"/>
          </w:tcPr>
          <w:p>
            <w:pPr>
              <w:pStyle w:val="TableContents"/>
              <w:bidi w:val="0"/>
              <w:spacing w:before="0" w:after="283"/>
              <w:jc w:val="left"/>
              <w:rPr/>
            </w:pPr>
            <w:r>
              <w:rPr/>
              <w:t>Chonda J. Nwamu</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2021</w:t>
            </w:r>
          </w:p>
        </w:tc>
        <w:tc>
          <w:tcPr>
            <w:tcW w:w="60" w:type="dxa"/>
            <w:tcBorders/>
            <w:vAlign w:val="center"/>
          </w:tcPr>
          <w:p>
            <w:pPr>
              <w:pStyle w:val="TableContents"/>
              <w:bidi w:val="0"/>
              <w:spacing w:before="0" w:after="283"/>
              <w:jc w:val="left"/>
              <w:rPr/>
            </w:pPr>
            <w:r>
              <w:rPr/>
              <w:t> </w:t>
            </w:r>
          </w:p>
        </w:tc>
        <w:tc>
          <w:tcPr>
            <w:tcW w:w="4802" w:type="dxa"/>
            <w:tcBorders/>
            <w:vAlign w:val="center"/>
          </w:tcPr>
          <w:p>
            <w:pPr>
              <w:pStyle w:val="TableContents"/>
              <w:bidi w:val="0"/>
              <w:spacing w:before="0" w:after="283"/>
              <w:jc w:val="left"/>
              <w:rPr/>
            </w:pPr>
            <w:r>
              <w:rPr/>
              <w:t>EVP and General Counsel for Edison International</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pPr>
            <w:r>
              <w:rPr/>
              <w:t> </w:t>
            </w:r>
          </w:p>
        </w:tc>
      </w:tr>
      <w:tr>
        <w:trPr/>
        <w:tc>
          <w:tcPr>
            <w:tcW w:w="2227" w:type="dxa"/>
            <w:tcBorders/>
            <w:shd w:fill="ABD8EA" w:val="clear"/>
            <w:vAlign w:val="center"/>
          </w:tcPr>
          <w:p>
            <w:pPr>
              <w:pStyle w:val="TableContents"/>
              <w:bidi w:val="0"/>
              <w:spacing w:before="0" w:after="283"/>
              <w:jc w:val="left"/>
              <w:rPr>
                <w:sz w:val="4"/>
                <w:szCs w:val="4"/>
              </w:rPr>
            </w:pPr>
            <w:r>
              <w:rPr>
                <w:sz w:val="4"/>
                <w:szCs w:val="4"/>
              </w:rPr>
            </w:r>
          </w:p>
        </w:tc>
        <w:tc>
          <w:tcPr>
            <w:tcW w:w="935" w:type="dxa"/>
            <w:gridSpan w:val="2"/>
            <w:tcBorders/>
            <w:shd w:fill="ABD8EA" w:val="clear"/>
            <w:vAlign w:val="center"/>
          </w:tcPr>
          <w:p>
            <w:pPr>
              <w:pStyle w:val="TableContents"/>
              <w:bidi w:val="0"/>
              <w:spacing w:before="0" w:after="283"/>
              <w:jc w:val="left"/>
              <w:rPr>
                <w:sz w:val="4"/>
                <w:szCs w:val="4"/>
              </w:rPr>
            </w:pPr>
            <w:r>
              <w:rPr>
                <w:sz w:val="4"/>
                <w:szCs w:val="4"/>
              </w:rPr>
            </w:r>
          </w:p>
        </w:tc>
        <w:tc>
          <w:tcPr>
            <w:tcW w:w="4862" w:type="dxa"/>
            <w:gridSpan w:val="2"/>
            <w:tcBorders/>
            <w:shd w:fill="ABD8EA" w:val="clear"/>
            <w:vAlign w:val="center"/>
          </w:tcPr>
          <w:p>
            <w:pPr>
              <w:pStyle w:val="TableContents"/>
              <w:bidi w:val="0"/>
              <w:spacing w:before="0" w:after="283"/>
              <w:jc w:val="left"/>
              <w:rPr>
                <w:sz w:val="4"/>
                <w:szCs w:val="4"/>
              </w:rPr>
            </w:pPr>
            <w:r>
              <w:rPr>
                <w:sz w:val="4"/>
                <w:szCs w:val="4"/>
              </w:rPr>
            </w:r>
          </w:p>
        </w:tc>
        <w:tc>
          <w:tcPr>
            <w:tcW w:w="965"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575" w:type="dxa"/>
            <w:gridSpan w:val="2"/>
            <w:tcBorders/>
            <w:shd w:fill="ABD8EA" w:val="clear"/>
            <w:vAlign w:val="center"/>
          </w:tcPr>
          <w:p>
            <w:pPr>
              <w:pStyle w:val="TableContents"/>
              <w:bidi w:val="0"/>
              <w:spacing w:before="0" w:after="283"/>
              <w:jc w:val="left"/>
              <w:rPr>
                <w:sz w:val="4"/>
                <w:szCs w:val="4"/>
              </w:rPr>
            </w:pPr>
            <w:r>
              <w:rPr>
                <w:sz w:val="4"/>
                <w:szCs w:val="4"/>
              </w:rPr>
            </w:r>
          </w:p>
        </w:tc>
        <w:tc>
          <w:tcPr>
            <w:tcW w:w="32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227" w:type="dxa"/>
            <w:tcBorders/>
            <w:shd w:fill="ABD8EA" w:val="clear"/>
            <w:vAlign w:val="center"/>
          </w:tcPr>
          <w:p>
            <w:pPr>
              <w:pStyle w:val="TableContents"/>
              <w:bidi w:val="0"/>
              <w:spacing w:before="0" w:after="283"/>
              <w:jc w:val="left"/>
              <w:rPr/>
            </w:pPr>
            <w:r>
              <w:rPr/>
              <w:t>Elliot H. Stein, Jr.</w:t>
            </w:r>
          </w:p>
        </w:tc>
        <w:tc>
          <w:tcPr>
            <w:tcW w:w="60" w:type="dxa"/>
            <w:tcBorders/>
            <w:shd w:fill="ABD8EA" w:val="clear"/>
            <w:vAlign w:val="center"/>
          </w:tcPr>
          <w:p>
            <w:pPr>
              <w:pStyle w:val="TableContents"/>
              <w:bidi w:val="0"/>
              <w:spacing w:before="0" w:after="283"/>
              <w:jc w:val="left"/>
              <w:rPr/>
            </w:pPr>
            <w:r>
              <w:rPr/>
              <w:t> </w:t>
            </w:r>
          </w:p>
        </w:tc>
        <w:tc>
          <w:tcPr>
            <w:tcW w:w="875" w:type="dxa"/>
            <w:tcBorders/>
            <w:shd w:fill="ABD8EA" w:val="clear"/>
            <w:vAlign w:val="center"/>
          </w:tcPr>
          <w:p>
            <w:pPr>
              <w:pStyle w:val="TableContents"/>
              <w:bidi w:val="0"/>
              <w:spacing w:before="0" w:after="283"/>
              <w:jc w:val="center"/>
              <w:rPr/>
            </w:pPr>
            <w:r>
              <w:rPr/>
              <w:t>2019</w:t>
            </w:r>
          </w:p>
        </w:tc>
        <w:tc>
          <w:tcPr>
            <w:tcW w:w="60" w:type="dxa"/>
            <w:tcBorders/>
            <w:shd w:fill="ABD8EA" w:val="clear"/>
            <w:vAlign w:val="center"/>
          </w:tcPr>
          <w:p>
            <w:pPr>
              <w:pStyle w:val="TableContents"/>
              <w:bidi w:val="0"/>
              <w:spacing w:before="0" w:after="283"/>
              <w:jc w:val="left"/>
              <w:rPr/>
            </w:pPr>
            <w:r>
              <w:rPr/>
              <w:t> </w:t>
            </w:r>
          </w:p>
        </w:tc>
        <w:tc>
          <w:tcPr>
            <w:tcW w:w="4802" w:type="dxa"/>
            <w:tcBorders/>
            <w:shd w:fill="ABD8EA" w:val="clear"/>
            <w:vAlign w:val="center"/>
          </w:tcPr>
          <w:p>
            <w:pPr>
              <w:pStyle w:val="TableContents"/>
              <w:bidi w:val="0"/>
              <w:spacing w:before="0" w:after="283"/>
              <w:jc w:val="left"/>
              <w:rPr/>
            </w:pPr>
            <w:r>
              <w:rPr/>
              <w:t>Retired Executive</w:t>
            </w:r>
          </w:p>
        </w:tc>
        <w:tc>
          <w:tcPr>
            <w:tcW w:w="60" w:type="dxa"/>
            <w:tcBorders/>
            <w:shd w:fill="ABD8EA" w:val="clear"/>
            <w:vAlign w:val="center"/>
          </w:tcPr>
          <w:p>
            <w:pPr>
              <w:pStyle w:val="TableContents"/>
              <w:bidi w:val="0"/>
              <w:spacing w:before="0" w:after="283"/>
              <w:jc w:val="left"/>
              <w:rPr/>
            </w:pPr>
            <w:r>
              <w:rPr/>
              <w:t> </w:t>
            </w:r>
          </w:p>
        </w:tc>
        <w:tc>
          <w:tcPr>
            <w:tcW w:w="905" w:type="dxa"/>
            <w:tcBorders/>
            <w:shd w:fill="ABD8EA" w:val="clear"/>
            <w:vAlign w:val="center"/>
          </w:tcPr>
          <w:p>
            <w:pPr>
              <w:pStyle w:val="TableContents"/>
              <w:bidi w:val="0"/>
              <w:spacing w:before="0" w:after="283"/>
              <w:jc w:val="center"/>
              <w:rPr/>
            </w:pPr>
            <w:r>
              <w:rPr/>
              <w:t>Yes</w:t>
            </w:r>
          </w:p>
        </w:tc>
        <w:tc>
          <w:tcPr>
            <w:tcW w:w="60" w:type="dxa"/>
            <w:tcBorders/>
            <w:shd w:fill="ABD8EA" w:val="clear"/>
            <w:vAlign w:val="center"/>
          </w:tcPr>
          <w:p>
            <w:pPr>
              <w:pStyle w:val="TableContents"/>
              <w:bidi w:val="0"/>
              <w:spacing w:before="0" w:after="283"/>
              <w:jc w:val="left"/>
              <w:rPr/>
            </w:pPr>
            <w:r>
              <w:rPr/>
              <w:t> </w:t>
            </w:r>
          </w:p>
        </w:tc>
        <w:tc>
          <w:tcPr>
            <w:tcW w:w="260" w:type="dxa"/>
            <w:tcBorders/>
            <w:shd w:fill="ABD8EA" w:val="clear"/>
            <w:vAlign w:val="center"/>
          </w:tcPr>
          <w:p>
            <w:pPr>
              <w:pStyle w:val="TableContents"/>
              <w:bidi w:val="0"/>
              <w:spacing w:before="0" w:after="283"/>
              <w:jc w:val="left"/>
              <w:rPr/>
            </w:pPr>
            <w:r>
              <w:rPr/>
              <w:t>✓</w:t>
            </w:r>
          </w:p>
        </w:tc>
        <w:tc>
          <w:tcPr>
            <w:tcW w:w="60" w:type="dxa"/>
            <w:tcBorders/>
            <w:shd w:fill="ABD8EA" w:val="clear"/>
            <w:vAlign w:val="center"/>
          </w:tcPr>
          <w:p>
            <w:pPr>
              <w:pStyle w:val="TableContents"/>
              <w:bidi w:val="0"/>
              <w:spacing w:before="0" w:after="283"/>
              <w:jc w:val="left"/>
              <w:rPr/>
            </w:pPr>
            <w:r>
              <w:rPr/>
              <w:t> </w:t>
            </w:r>
          </w:p>
        </w:tc>
        <w:tc>
          <w:tcPr>
            <w:tcW w:w="515" w:type="dxa"/>
            <w:tcBorders/>
            <w:shd w:fill="ABD8EA" w:val="clear"/>
            <w:vAlign w:val="center"/>
          </w:tcPr>
          <w:p>
            <w:pPr>
              <w:pStyle w:val="TableContents"/>
              <w:bidi w:val="0"/>
              <w:spacing w:before="0" w:after="0"/>
              <w:jc w:val="left"/>
              <w:rPr/>
            </w:pPr>
            <w:r>
              <w:rPr/>
              <w:t> </w:t>
            </w:r>
          </w:p>
        </w:tc>
        <w:tc>
          <w:tcPr>
            <w:tcW w:w="60" w:type="dxa"/>
            <w:tcBorders/>
            <w:shd w:fill="ABD8EA" w:val="clear"/>
            <w:vAlign w:val="center"/>
          </w:tcPr>
          <w:p>
            <w:pPr>
              <w:pStyle w:val="TableContents"/>
              <w:bidi w:val="0"/>
              <w:spacing w:before="0" w:after="283"/>
              <w:jc w:val="left"/>
              <w:rPr/>
            </w:pPr>
            <w:r>
              <w:rPr/>
              <w:t> </w:t>
            </w:r>
          </w:p>
        </w:tc>
        <w:tc>
          <w:tcPr>
            <w:tcW w:w="261" w:type="dxa"/>
            <w:tcBorders/>
            <w:shd w:fill="ABD8EA"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9775" w:type="dxa"/>
        <w:jc w:val="left"/>
        <w:tblInd w:w="0" w:type="dxa"/>
        <w:tblLayout w:type="fixed"/>
        <w:tblCellMar>
          <w:top w:w="0" w:type="dxa"/>
          <w:left w:w="0" w:type="dxa"/>
          <w:bottom w:w="0" w:type="dxa"/>
          <w:right w:w="0" w:type="dxa"/>
        </w:tblCellMar>
      </w:tblPr>
      <w:tblGrid>
        <w:gridCol w:w="305"/>
        <w:gridCol w:w="9470"/>
      </w:tblGrid>
      <w:tr>
        <w:trPr/>
        <w:tc>
          <w:tcPr>
            <w:tcW w:w="30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(1) </w:t>
            </w:r>
          </w:p>
        </w:tc>
        <w:tc>
          <w:tcPr>
            <w:tcW w:w="947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xml:space="preserve">AC – Audit Committee; CGCC – Corporate Governance and Compensation Committee; EC – Executive Committee </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(2) </w:t>
            </w:r>
          </w:p>
        </w:tc>
        <w:tc>
          <w:tcPr>
            <w:tcW w:w="869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xml:space="preserve">On November 12, 2025, Mr. Finkelstein was appointed to the Board of Directors effective January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good governance, we are asking our stockholders to ratify the selection of PricewaterhouseCoopers LLP as our independent registered public accounting firm for the fiscal year ending September 30, 2026. The Board unanimously recommends a vote FOR ratification of PricewaterhouseCoopers LLP as our independent registered public accounting firm.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Vote on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30979_2"/>
      <w:bookmarkEnd w:id="4"/>
      <w:r>
        <w:rPr>
          <w:rFonts w:ascii="Times New Roman" w:hAnsi="Times New Roman"/>
          <w:b/>
          <w:sz w:val="20"/>
        </w:rPr>
        <w:t xml:space="preserve">PROXY AND VOTING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(the “Board of Directors” or the “Board”) of BellRing Brands, Inc. (“BellRing,” the “Company” or “we”) is soliciting proxies for the 2026 annual meeting of stockholders. This proxy statement, the form of proxy and the Company’s 2025 annual report to stockholders will be available at </w:t>
      </w:r>
      <w:r>
        <w:rPr>
          <w:rFonts w:ascii="Times New Roman" w:hAnsi="Times New Roman"/>
          <w:i/>
          <w:sz w:val="20"/>
        </w:rPr>
        <w:t xml:space="preserve">www.envisionreports.com/BRBR </w:t>
      </w:r>
      <w:r>
        <w:rPr>
          <w:rFonts w:ascii="Times New Roman" w:hAnsi="Times New Roman"/>
          <w:sz w:val="20"/>
        </w:rPr>
        <w:t xml:space="preserve">beginning on December 16, 2025. On or about December 16, 2025, a Notice Regarding the Availability of Proxy Materials (the “Notice”) will be mailed to stockholders of record at the close of business on December 8, 2025, the record date for the 2026 annual meeting of stockholders. On the record date, there were 118,425,407 shares of our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receive printed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16, 2025,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Why is the Company holding a virtual annual meeting? How can I attend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decided that the annual meeting will be a completely virtual meeting of stockholders, which will be conducted exclusively online via a live audio-only webcast.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you can attend the annual meeting online, vote and submit your questions prior to and during the meeting by visiting </w:t>
      </w:r>
      <w:r>
        <w:rPr>
          <w:rFonts w:ascii="Times New Roman" w:hAnsi="Times New Roman"/>
          <w:i/>
          <w:sz w:val="20"/>
        </w:rPr>
        <w:t>www.envisionreports.com/BRBR</w:t>
      </w:r>
      <w:r>
        <w:rPr>
          <w:rFonts w:ascii="Times New Roman" w:hAnsi="Times New Roman"/>
          <w:sz w:val="20"/>
        </w:rPr>
        <w:t xml:space="preserve">. </w:t>
      </w:r>
      <w:r>
        <w:rPr>
          <w:rFonts w:ascii="Times New Roman" w:hAnsi="Times New Roman"/>
          <w:b/>
          <w:sz w:val="20"/>
          <w:u w:val="single"/>
        </w:rPr>
        <w:t>Please follow the login and registration instructions outlined below.</w:t>
      </w:r>
      <w:r>
        <w:rPr>
          <w:rFonts w:ascii="Times New Roman" w:hAnsi="Times New Roman"/>
          <w:sz w:val="20"/>
        </w:rPr>
        <w:t xml:space="preserve"> You will need a 15-digit control number to participate in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Anyone may enter the annual meeting as a guest in listen-only mode at </w:t>
      </w:r>
      <w:r>
        <w:rPr>
          <w:rFonts w:ascii="Times New Roman" w:hAnsi="Times New Roman"/>
          <w:i/>
          <w:sz w:val="20"/>
        </w:rPr>
        <w:t>www.envisionreports.com/BRBR</w:t>
      </w:r>
      <w:r>
        <w:rPr>
          <w:rFonts w:ascii="Times New Roman" w:hAnsi="Times New Roman"/>
          <w:sz w:val="20"/>
        </w:rPr>
        <w:t xml:space="preserve">, but only stockholders of record and beneficial owners of shares who have registered for the meeting may participate in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online meeting will begin promptly at 9:00 a.m., Central Time on Wednesday, January 28, 2026. We encourage you to access the meeting prior to the start time to provide ample time for logging in. Rules of conduct for the annual meeting will be posted on the annual meeting website at </w:t>
      </w:r>
      <w:r>
        <w:rPr>
          <w:rFonts w:ascii="Times New Roman" w:hAnsi="Times New Roman"/>
          <w:i/>
          <w:sz w:val="20"/>
        </w:rPr>
        <w:t>www.envisionreports.com/BRBR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 am a stockholder of record. How do I register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Times New Roman" w:hAnsi="Times New Roman"/>
          <w:i/>
          <w:sz w:val="20"/>
        </w:rPr>
        <w:t xml:space="preserve">www.envisionreports.com/BRBR </w:t>
      </w:r>
      <w:r>
        <w:rPr>
          <w:rFonts w:ascii="Times New Roman" w:hAnsi="Times New Roman"/>
          <w:sz w:val="20"/>
        </w:rPr>
        <w:t xml:space="preserve">to log in on the day of the meeting. To access the meeting, you will need to enter the 15-digit control number printed in the shaded bar on your proxy card 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 am a beneficial owner of shares. How do I register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 </w:t>
      </w:r>
    </w:p>
    <w:p>
      <w:pPr>
        <w:pStyle w:val="TextBody"/>
        <w:bidi w:val="0"/>
        <w:spacing w:before="240" w:after="0"/>
        <w:jc w:val="left"/>
        <w:rPr>
          <w:rFonts w:ascii="Times New Roman" w:hAnsi="Times New Roman"/>
          <w:sz w:val="20"/>
        </w:rPr>
      </w:pPr>
      <w:r>
        <w:rPr>
          <w:rFonts w:ascii="Times New Roman" w:hAnsi="Times New Roman"/>
          <w:b/>
          <w:sz w:val="20"/>
          <w:u w:val="single"/>
        </w:rPr>
        <w:t>Requests for registration must be labeled as “Legal Proxy” and be received by Computershare no later than Tuesday, January</w:t>
      </w:r>
      <w:r>
        <w:rPr>
          <w:rFonts w:ascii="Times New Roman" w:hAnsi="Times New Roman"/>
          <w:sz w:val="20"/>
          <w:u w:val="single"/>
        </w:rPr>
        <w:t> </w:t>
      </w:r>
      <w:r>
        <w:rPr>
          <w:rFonts w:ascii="Times New Roman" w:hAnsi="Times New Roman"/>
          <w:b/>
          <w:sz w:val="20"/>
          <w:u w:val="single"/>
        </w:rPr>
        <w:t>27, 2026.</w:t>
      </w:r>
      <w:r>
        <w:rPr>
          <w:rFonts w:ascii="Times New Roman" w:hAnsi="Times New Roman"/>
          <w:sz w:val="20"/>
        </w:rPr>
        <w:t xml:space="preserve"> You will receive confirmation of your registration by email (or by mail, if no email address is provided) after Computershare receives your registration materials. To attend the meeting, please visit the annual meeting website at </w:t>
      </w:r>
      <w:r>
        <w:rPr>
          <w:rFonts w:ascii="Times New Roman" w:hAnsi="Times New Roman"/>
          <w:i/>
          <w:sz w:val="20"/>
        </w:rPr>
        <w:t xml:space="preserve">www.envisionreports.com/BRBR </w:t>
      </w:r>
      <w:r>
        <w:rPr>
          <w:rFonts w:ascii="Times New Roman" w:hAnsi="Times New Roman"/>
          <w:sz w:val="20"/>
        </w:rPr>
        <w:t xml:space="preserve">to log in on the day of the meeting. To access the meeting, you will need to enter the 15-digit control number provided in the confirmation sent by Computershare.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have trouble accessing the annual meeting virtually? </w:t>
      </w:r>
    </w:p>
    <w:p>
      <w:pPr>
        <w:pStyle w:val="TextBody"/>
        <w:bidi w:val="0"/>
        <w:spacing w:before="120" w:after="0"/>
        <w:jc w:val="left"/>
        <w:rPr>
          <w:rFonts w:ascii="Times New Roman" w:hAnsi="Times New Roman"/>
          <w:sz w:val="20"/>
        </w:rPr>
      </w:pPr>
      <w:r>
        <w:rPr>
          <w:rFonts w:ascii="Times New Roman" w:hAnsi="Times New Roman"/>
          <w:sz w:val="20"/>
        </w:rPr>
        <w:t xml:space="preserve">If you have difficulties logging into the annual meeting virtually, you can utilize the technical resources available on the log-in webpage for the virtual annual meeting at </w:t>
      </w:r>
      <w:r>
        <w:rPr>
          <w:rFonts w:ascii="Times New Roman" w:hAnsi="Times New Roman"/>
          <w:i/>
          <w:sz w:val="20"/>
        </w:rPr>
        <w:t xml:space="preserve">www.envisionreports.com/BRBR </w:t>
      </w:r>
      <w:r>
        <w:rPr>
          <w:rFonts w:ascii="Times New Roman" w:hAnsi="Times New Roman"/>
          <w:sz w:val="20"/>
        </w:rPr>
        <w:t xml:space="preserve">or contact 888-724-2416 (locally) or +1 781-575-2748 (internationally) for technical assistance. </w:t>
      </w:r>
    </w:p>
    <w:p>
      <w:pPr>
        <w:pStyle w:val="TextBody"/>
        <w:bidi w:val="0"/>
        <w:spacing w:before="240" w:after="0"/>
        <w:jc w:val="left"/>
        <w:rPr>
          <w:rFonts w:ascii="Times New Roman" w:hAnsi="Times New Roman"/>
          <w:sz w:val="20"/>
        </w:rPr>
      </w:pPr>
      <w:r>
        <w:rPr>
          <w:rFonts w:ascii="Times New Roman" w:hAnsi="Times New Roman"/>
          <w:sz w:val="20"/>
        </w:rPr>
        <w:t xml:space="preserve">If there are any technical issues in convening or hosting the annual meeting, we will promptly post information to our newsroom website, </w:t>
      </w:r>
      <w:r>
        <w:rPr>
          <w:rFonts w:ascii="Times New Roman" w:hAnsi="Times New Roman"/>
          <w:i/>
          <w:sz w:val="20"/>
        </w:rPr>
        <w:t>www.bellring.com/news</w:t>
      </w:r>
      <w:r>
        <w:rPr>
          <w:rFonts w:ascii="Times New Roman" w:hAnsi="Times New Roman"/>
          <w:sz w:val="20"/>
        </w:rPr>
        <w:t xml:space="preserve">, under the Corporate and Financial Releases heading, including information on when the meeting will be reconvened.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being asked to vote on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We are asking our stockholders to consider the following items: </w:t>
      </w:r>
    </w:p>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200"/>
        <w:gridCol w:w="73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the five nominees to our Board of Directors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PricewaterhouseCoopers LLP as our independent registered public accounting firm for our fiscal year ending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an advisory basis, for the adoption of a resolution approving the compensation of our named executive officers, as such compensation is described under the “Compensation Discussion and Analysis” and “Executive Compensation” sections of this proxy statement; and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200"/>
        <w:gridCol w:w="50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business properly introduced at the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You have one vote for each share of our common stock that you owned at the close of business on the record date. These shares include: </w:t>
      </w:r>
    </w:p>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registered directly in your name with our transfer agent, for which you are considered the “stockholder of record”;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held for you as the beneficial owner through a broker, bank or other nominee in “street name”; and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credited to your account in the BellRing Brands, Inc. 401(k)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is the difference between holding shares as a “stockholder of record” and as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registered directly in your name with our transfer agent, Computershare, you are considered the “stockholder of record” with respect to those shares. We have sent a Notice or proxy materials directly to you.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vote my shares? </w:t>
      </w:r>
    </w:p>
    <w:p>
      <w:pPr>
        <w:pStyle w:val="TextBody"/>
        <w:bidi w:val="0"/>
        <w:spacing w:before="120" w:after="0"/>
        <w:jc w:val="left"/>
        <w:rPr>
          <w:rFonts w:ascii="Times New Roman" w:hAnsi="Times New Roman"/>
          <w:sz w:val="20"/>
        </w:rPr>
      </w:pPr>
      <w:r>
        <w:rPr>
          <w:rFonts w:ascii="Times New Roman" w:hAnsi="Times New Roman"/>
          <w:sz w:val="20"/>
        </w:rPr>
        <w:t xml:space="preserve">You can vote by proxy or online at the virtual annual meeting. If you intend to vote at the virtual annual meeting, please refer to “Why is the Company holding a virtual annual meeting? How can I attend the meeting?” on page 3, “I am a stockholder of record. How do I register for the annual meeting?” on page 3 and “I am a beneficial owner of shares. How do I register for the annual meeting?” on page 4.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by proxy?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vote by telephone, Internet or mail. Our telephone and Internet voting procedures are designed to authenticate stockholders by using individual control numbers that can be found on the Notice or proxy card mailed to you.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Registered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Voting by telephone</w:t>
            </w:r>
            <w:r>
              <w:rPr>
                <w:rFonts w:ascii="Times New Roman" w:hAnsi="Times New Roman"/>
                <w:sz w:val="20"/>
              </w:rPr>
              <w:t xml:space="preserve">: You can vote by calling 800-652-VOTE (800-652-8683) within the United States, United States Territories and Canada and following the instructions provided. Telephone voting is available 24 hours a day, 7 days a week.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Voting by Internet</w:t>
            </w:r>
            <w:r>
              <w:rPr>
                <w:rFonts w:ascii="Times New Roman" w:hAnsi="Times New Roman"/>
                <w:sz w:val="20"/>
              </w:rPr>
              <w:t xml:space="preserve">: You can vote via the Internet by accessing </w:t>
            </w:r>
            <w:r>
              <w:rPr>
                <w:rFonts w:ascii="Times New Roman" w:hAnsi="Times New Roman"/>
                <w:i/>
                <w:sz w:val="20"/>
              </w:rPr>
              <w:t xml:space="preserve">www.envisionreports.com/BRBR </w:t>
            </w:r>
            <w:r>
              <w:rPr>
                <w:rFonts w:ascii="Times New Roman" w:hAnsi="Times New Roman"/>
                <w:sz w:val="20"/>
              </w:rPr>
              <w:t xml:space="preserve">and following the instructions provided. Internet voting is available 24 hours a day, 7 days a week.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Voting by mail</w:t>
            </w:r>
            <w:r>
              <w:rPr>
                <w:rFonts w:ascii="Times New Roman" w:hAnsi="Times New Roman"/>
                <w:sz w:val="20"/>
              </w:rPr>
              <w:t xml:space="preserve">: If you choose to vote by mail (if you request printed copies of the proxy materials by mail), simply mark your proxy card, date and sign it and return it in the postage-paid envelope provided. </w:t>
            </w:r>
          </w:p>
        </w:tc>
      </w:tr>
    </w:tbl>
    <w:p>
      <w:pPr>
        <w:pStyle w:val="TextBody"/>
        <w:bidi w:val="0"/>
        <w:spacing w:before="240" w:after="0"/>
        <w:jc w:val="left"/>
        <w:rPr>
          <w:rFonts w:ascii="Times New Roman" w:hAnsi="Times New Roman"/>
          <w:sz w:val="20"/>
        </w:rPr>
      </w:pPr>
      <w:r>
        <w:rPr>
          <w:rFonts w:ascii="Times New Roman" w:hAnsi="Times New Roman"/>
          <w:i/>
          <w:sz w:val="20"/>
          <w:u w:val="single"/>
        </w:rPr>
        <w:t>Street Name Shares</w:t>
      </w:r>
      <w:r>
        <w:rPr>
          <w:rFonts w:ascii="Times New Roman" w:hAnsi="Times New Roman"/>
          <w:sz w:val="20"/>
        </w:rPr>
        <w:t xml:space="preserve">: If you hold shares through a broker, bank or other nominee, you will receive materials from that person explaining how to vote. </w:t>
      </w:r>
    </w:p>
    <w:p>
      <w:pPr>
        <w:pStyle w:val="TextBody"/>
        <w:bidi w:val="0"/>
        <w:spacing w:before="240" w:after="0"/>
        <w:jc w:val="left"/>
        <w:rPr>
          <w:rFonts w:ascii="Times New Roman" w:hAnsi="Times New Roman"/>
          <w:sz w:val="20"/>
        </w:rPr>
      </w:pPr>
      <w:r>
        <w:rPr>
          <w:rFonts w:ascii="Times New Roman" w:hAnsi="Times New Roman"/>
          <w:sz w:val="20"/>
        </w:rPr>
        <w:t xml:space="preserve">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five nominees to our Board of Directors; “FOR” ratification of the appointment of our independent registered public accounting firm; and “FOR” the advisory approval of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give a proxy to someone other than Paul A. Rode or Craig L. Rosenthal, you may strike out their names on the proxy card and write in the name of any other person, sign the proxy and deliver it to the person whose name has been substituted.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authorize someone else to attend the annual meeting or vote for me? </w:t>
      </w:r>
    </w:p>
    <w:p>
      <w:pPr>
        <w:pStyle w:val="TextBody"/>
        <w:bidi w:val="0"/>
        <w:spacing w:before="120" w:after="0"/>
        <w:jc w:val="left"/>
        <w:rPr>
          <w:rFonts w:ascii="Times New Roman" w:hAnsi="Times New Roman"/>
          <w:sz w:val="20"/>
        </w:rPr>
      </w:pPr>
      <w:r>
        <w:rPr>
          <w:rFonts w:ascii="Times New Roman" w:hAnsi="Times New Roman"/>
          <w:i/>
          <w:sz w:val="20"/>
          <w:u w:val="single"/>
        </w:rPr>
        <w:t>Stockholders of Record</w:t>
      </w:r>
      <w:r>
        <w:rPr>
          <w:rFonts w:ascii="Times New Roman" w:hAnsi="Times New Roman"/>
          <w:sz w:val="20"/>
        </w:rPr>
        <w:t xml:space="preserve">: Stockholders of record can authorize someone other than the individual(s) named on the proxy card or Notice to attend the virtual meeting or vote on their behalf by crossing out the individual(s) named on the proxy card or Notice and inserting the name, address and email address of the authorized person.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 </w:t>
      </w:r>
    </w:p>
    <w:p>
      <w:pPr>
        <w:pStyle w:val="TextBody"/>
        <w:bidi w:val="0"/>
        <w:spacing w:before="240" w:after="0"/>
        <w:jc w:val="left"/>
        <w:rPr>
          <w:rFonts w:ascii="Times New Roman" w:hAnsi="Times New Roman"/>
          <w:sz w:val="20"/>
        </w:rPr>
      </w:pPr>
      <w:r>
        <w:rPr>
          <w:rFonts w:ascii="Times New Roman" w:hAnsi="Times New Roman"/>
          <w:i/>
          <w:sz w:val="20"/>
          <w:u w:val="single"/>
        </w:rPr>
        <w:t>Beneficial Owners of Shares</w:t>
      </w:r>
      <w:r>
        <w:rPr>
          <w:rFonts w:ascii="Times New Roman" w:hAnsi="Times New Roman"/>
          <w:sz w:val="20"/>
        </w:rPr>
        <w:t xml:space="preserve">: Beneficial owners of shares can authorize someone other than the individual(s) named on the legal proxy obtained from their brokers or banks to attend the virtual meeting or vote on their behalf by providing a written authorization to the authorized individual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Requests for registration of an authorized representative must be labeled as “Legal Proxy” and be received by Computershare no later than Tuesday, January 27, 2026. </w:t>
      </w:r>
    </w:p>
    <w:p>
      <w:pPr>
        <w:pStyle w:val="TextBody"/>
        <w:bidi w:val="0"/>
        <w:spacing w:before="120" w:after="0"/>
        <w:jc w:val="left"/>
        <w:rPr>
          <w:rFonts w:ascii="Times New Roman" w:hAnsi="Times New Roman"/>
          <w:b/>
          <w:sz w:val="20"/>
        </w:rPr>
      </w:pPr>
      <w:r>
        <w:rPr>
          <w:rFonts w:ascii="Times New Roman" w:hAnsi="Times New Roman"/>
          <w:b/>
          <w:sz w:val="20"/>
        </w:rPr>
        <w:t xml:space="preserve">How can I change or revoke my proxy? </w:t>
      </w:r>
    </w:p>
    <w:p>
      <w:pPr>
        <w:pStyle w:val="TextBody"/>
        <w:bidi w:val="0"/>
        <w:spacing w:before="120" w:after="0"/>
        <w:jc w:val="left"/>
        <w:rPr>
          <w:rFonts w:ascii="Times New Roman" w:hAnsi="Times New Roman"/>
          <w:sz w:val="20"/>
        </w:rPr>
      </w:pPr>
      <w:r>
        <w:rPr>
          <w:rFonts w:ascii="Times New Roman" w:hAnsi="Times New Roman"/>
          <w:i/>
          <w:sz w:val="20"/>
          <w:u w:val="single"/>
        </w:rPr>
        <w:t>Stockholders of Record</w:t>
      </w:r>
      <w:r>
        <w:rPr>
          <w:rFonts w:ascii="Times New Roman" w:hAnsi="Times New Roman"/>
          <w:sz w:val="20"/>
        </w:rPr>
        <w:t xml:space="preserve">: You may change or revoke your proxy by voting again on the Internet or by telephone after submitting your original vote, by submitting a written notice of revocation to BellRing Brands, Inc., c/o Corporate Secretary, 1 N Brentwood Blvd., Suite 1550, St. Louis, Missouri 63105 before the annual meeting, by requesting and returning a proxy card by mail with a later date, or by attending the virtual annual meeting and voting online. For all methods of voting, the last vote cast will supersede all previous votes. </w:t>
      </w:r>
    </w:p>
    <w:p>
      <w:pPr>
        <w:pStyle w:val="TextBody"/>
        <w:bidi w:val="0"/>
        <w:spacing w:before="240" w:after="0"/>
        <w:jc w:val="left"/>
        <w:rPr>
          <w:rFonts w:ascii="Times New Roman" w:hAnsi="Times New Roman"/>
          <w:sz w:val="20"/>
        </w:rPr>
      </w:pPr>
      <w:r>
        <w:rPr>
          <w:rFonts w:ascii="Times New Roman" w:hAnsi="Times New Roman"/>
          <w:i/>
          <w:sz w:val="20"/>
          <w:u w:val="single"/>
        </w:rPr>
        <w:t>Beneficial Owners of Shares</w:t>
      </w:r>
      <w:r>
        <w:rPr>
          <w:rFonts w:ascii="Times New Roman" w:hAnsi="Times New Roman"/>
          <w:sz w:val="20"/>
        </w:rPr>
        <w:t xml:space="preserve">: You may change or revoke your voting instructions by following the specific directions provided to you by your broker, bank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in person?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able to vote in person at the annual meeting as the annual meeting will be exclusively virtual this year. However, you will be able to vote online at the virtual annual meeting. See “How can I vote my shares?” on page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If I hold shares in street name, how can I vote my shares? </w:t>
      </w:r>
    </w:p>
    <w:p>
      <w:pPr>
        <w:pStyle w:val="TextBody"/>
        <w:bidi w:val="0"/>
        <w:spacing w:before="120" w:after="0"/>
        <w:jc w:val="left"/>
        <w:rPr>
          <w:rFonts w:ascii="Times New Roman" w:hAnsi="Times New Roman"/>
          <w:sz w:val="20"/>
        </w:rPr>
      </w:pPr>
      <w:r>
        <w:rPr>
          <w:rFonts w:ascii="Times New Roman" w:hAnsi="Times New Roman"/>
          <w:sz w:val="20"/>
        </w:rPr>
        <w:t xml:space="preserve">You can submit voting instructions to your broker, bank or other nominee. In most instances, you will be able to do this by telephone, over the Internet or by mail. Please refer to the materials you receive from your broker, bank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my shares in the BellRing Brands, Inc. 401(k) Plan? </w:t>
      </w:r>
    </w:p>
    <w:p>
      <w:pPr>
        <w:pStyle w:val="TextBody"/>
        <w:bidi w:val="0"/>
        <w:spacing w:before="120" w:after="0"/>
        <w:jc w:val="left"/>
        <w:rPr>
          <w:rFonts w:ascii="Times New Roman" w:hAnsi="Times New Roman"/>
          <w:sz w:val="20"/>
        </w:rPr>
      </w:pPr>
      <w:r>
        <w:rPr>
          <w:rFonts w:ascii="Times New Roman" w:hAnsi="Times New Roman"/>
          <w:sz w:val="20"/>
        </w:rPr>
        <w:t xml:space="preserve">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January 23, 2026,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 </w:t>
      </w:r>
    </w:p>
    <w:p>
      <w:pPr>
        <w:pStyle w:val="TextBody"/>
        <w:bidi w:val="0"/>
        <w:spacing w:before="360" w:after="0"/>
        <w:jc w:val="left"/>
        <w:rPr>
          <w:rFonts w:ascii="Times New Roman" w:hAnsi="Times New Roman"/>
          <w:b/>
          <w:sz w:val="20"/>
        </w:rPr>
      </w:pPr>
      <w:r>
        <w:rPr>
          <w:rFonts w:ascii="Times New Roman" w:hAnsi="Times New Roman"/>
          <w:b/>
          <w:sz w:val="20"/>
        </w:rPr>
        <w:t xml:space="preserve">Is my vote confidential? </w:t>
      </w:r>
    </w:p>
    <w:p>
      <w:pPr>
        <w:pStyle w:val="TextBody"/>
        <w:bidi w:val="0"/>
        <w:spacing w:before="120" w:after="0"/>
        <w:jc w:val="left"/>
        <w:rPr>
          <w:rFonts w:ascii="Times New Roman" w:hAnsi="Times New Roman"/>
          <w:sz w:val="20"/>
        </w:rPr>
      </w:pPr>
      <w:r>
        <w:rPr>
          <w:rFonts w:ascii="Times New Roman" w:hAnsi="Times New Roman"/>
          <w:sz w:val="20"/>
        </w:rPr>
        <w:t xml:space="preserve">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What “quorum” is required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each director nominee, the ratification of the appointment of PricewaterhouseCoopers LLP as the Company’s independent registered public accounting firm for fiscal year 2026, and the advisory approval of the executive compensation of our named executive officers must each be approved by a majority the total voting power of the shares represented at the annual meeting in person or by proxy and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Although the approval of the Company’s executive compensation is advisory and not binding on the Company, the Board of Directors and the Corporate Governance and Compensation Committee, which is responsible for administering the Company’s executive compensation programs, are interested in the opinions expressed by our stockholders in their vote on this proposal and will consider the outcome of the vote when making future compensation decisions for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How are the voting results determined? </w:t>
      </w:r>
    </w:p>
    <w:p>
      <w:pPr>
        <w:pStyle w:val="TextBody"/>
        <w:bidi w:val="0"/>
        <w:spacing w:before="120" w:after="0"/>
        <w:jc w:val="left"/>
        <w:rPr>
          <w:rFonts w:ascii="Times New Roman" w:hAnsi="Times New Roman"/>
          <w:sz w:val="20"/>
        </w:rPr>
      </w:pPr>
      <w:r>
        <w:rPr>
          <w:rFonts w:ascii="Times New Roman" w:hAnsi="Times New Roman"/>
          <w:sz w:val="20"/>
        </w:rPr>
        <w:t xml:space="preserve">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 </w:t>
      </w:r>
    </w:p>
    <w:p>
      <w:pPr>
        <w:pStyle w:val="TextBody"/>
        <w:bidi w:val="0"/>
        <w:spacing w:before="360" w:after="0"/>
        <w:jc w:val="left"/>
        <w:rPr>
          <w:rFonts w:ascii="Times New Roman" w:hAnsi="Times New Roman"/>
          <w:b/>
          <w:sz w:val="20"/>
        </w:rPr>
      </w:pPr>
      <w:r>
        <w:rPr>
          <w:rFonts w:ascii="Times New Roman" w:hAnsi="Times New Roman"/>
          <w:b/>
          <w:sz w:val="20"/>
        </w:rPr>
        <w:t xml:space="preserve">Is any other business expected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Exchange Act, your proxies will act on such matter in their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ask questions pertinent to annual meeting matters?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questions either before the annual meeting (from Wednesday, January 7, 2026 until Wednesday, January 21, 2026) or during the annual meeting. If you wish to submit a question either before or during the annual meeting, please log into </w:t>
      </w:r>
      <w:r>
        <w:rPr>
          <w:rFonts w:ascii="Times New Roman" w:hAnsi="Times New Roman"/>
          <w:i/>
          <w:sz w:val="20"/>
        </w:rPr>
        <w:t>www.meetnow.global/MADH4W4</w:t>
      </w:r>
      <w:r>
        <w:rPr>
          <w:rFonts w:ascii="Times New Roman" w:hAnsi="Times New Roman"/>
          <w:sz w:val="20"/>
        </w:rPr>
        <w:t xml:space="preserve">, enter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 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the annual meeting is adjourned or postponed? </w:t>
      </w:r>
    </w:p>
    <w:p>
      <w:pPr>
        <w:pStyle w:val="TextBody"/>
        <w:bidi w:val="0"/>
        <w:spacing w:before="120" w:after="0"/>
        <w:jc w:val="left"/>
        <w:rPr>
          <w:rFonts w:ascii="Times New Roman" w:hAnsi="Times New Roman"/>
          <w:sz w:val="20"/>
        </w:rPr>
      </w:pPr>
      <w:r>
        <w:rPr>
          <w:rFonts w:ascii="Times New Roman" w:hAnsi="Times New Roman"/>
          <w:sz w:val="20"/>
        </w:rPr>
        <w:t xml:space="preserve">If the annual meeting is adjourned or postponed, your proxy will still be valid and may be voted at the adjourned or postponed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I find the 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announce preliminary voting results at the annual meeting. We will publish the final results in a Current Report on Form 8-K, which we expect to file with the SEC on or before February 3, 2026. You also can go to our website at </w:t>
      </w:r>
      <w:r>
        <w:rPr>
          <w:rFonts w:ascii="Times New Roman" w:hAnsi="Times New Roman"/>
          <w:i/>
          <w:sz w:val="20"/>
        </w:rPr>
        <w:t xml:space="preserve">www.bellring.com </w:t>
      </w:r>
      <w:r>
        <w:rPr>
          <w:rFonts w:ascii="Times New Roman" w:hAnsi="Times New Roman"/>
          <w:sz w:val="20"/>
        </w:rPr>
        <w:t xml:space="preserve">to access the Form 8-K. Information on our website does not constitute part of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30979_3"/>
      <w:bookmarkEnd w:id="5"/>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bookmarkStart w:id="6" w:name="toc30979_4"/>
      <w:bookmarkEnd w:id="6"/>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hAnsi="Times New Roman"/>
          <w:i/>
          <w:sz w:val="20"/>
        </w:rPr>
        <w:t>www.bellring.com</w:t>
      </w:r>
      <w:r>
        <w:rPr>
          <w:rFonts w:ascii="Times New Roman" w:hAnsi="Times New Roman"/>
          <w:sz w:val="20"/>
        </w:rPr>
        <w:t xml:space="preserve">.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 </w:t>
      </w:r>
    </w:p>
    <w:p>
      <w:pPr>
        <w:pStyle w:val="TextBody"/>
        <w:bidi w:val="0"/>
        <w:spacing w:before="360" w:after="0"/>
        <w:jc w:val="left"/>
        <w:rPr>
          <w:rFonts w:ascii="Times New Roman" w:hAnsi="Times New Roman"/>
          <w:b/>
          <w:sz w:val="20"/>
        </w:rPr>
      </w:pPr>
      <w:bookmarkStart w:id="7" w:name="toc30979_5"/>
      <w:bookmarkEnd w:id="7"/>
      <w:r>
        <w:rPr>
          <w:rFonts w:ascii="Times New Roman" w:hAnsi="Times New Roman"/>
          <w:b/>
          <w:sz w:val="20"/>
        </w:rPr>
        <w:t xml:space="preserve">Refreshment </w:t>
      </w:r>
    </w:p>
    <w:p>
      <w:pPr>
        <w:pStyle w:val="TextBody"/>
        <w:bidi w:val="0"/>
        <w:spacing w:before="120" w:after="0"/>
        <w:jc w:val="left"/>
        <w:rPr>
          <w:rFonts w:ascii="Times New Roman" w:hAnsi="Times New Roman"/>
          <w:sz w:val="20"/>
        </w:rPr>
      </w:pPr>
      <w:r>
        <w:rPr>
          <w:rFonts w:ascii="Times New Roman" w:hAnsi="Times New Roman"/>
          <w:sz w:val="20"/>
        </w:rPr>
        <w:t xml:space="preserve">Board and committee refreshment are regularly reviewed by our Corporate Governance and Compensation Committee. Our Board of Directors periodically receives recommendations from the Corporate Governance and Compensation Committee about possible changes designed to staff the Board of Directors and its committees with individuals who have the skills, experiences and perspectives necessary to make meaningful contributions to shaping and implementing our business strategies.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Board of Directors approved an amendment to our certificate of incorporation to declassify the Board of Directors over a three-year phase-in period that commenced in January 2025 upon stockholder approval of the amendment at last year’s annual meeting. The Board of Directors believes that a declassified board enables stockholders to express their views on the individual performance of each director and on the entire Board of Directors more frequently than with a classified board structure, which provides stockholders a more active role in shaping and implementing corporate governance policies. Moreover, many institutional investors believe that the election of directors is the primary means for stockholders to influence corporate governance policies and to hold management accountable for implementing those policies. </w:t>
      </w:r>
    </w:p>
    <w:p>
      <w:pPr>
        <w:pStyle w:val="TextBody"/>
        <w:bidi w:val="0"/>
        <w:spacing w:before="240" w:after="0"/>
        <w:jc w:val="left"/>
        <w:rPr>
          <w:rFonts w:ascii="Times New Roman" w:hAnsi="Times New Roman"/>
          <w:sz w:val="20"/>
        </w:rPr>
      </w:pPr>
      <w:r>
        <w:rPr>
          <w:rFonts w:ascii="Times New Roman" w:hAnsi="Times New Roman"/>
          <w:sz w:val="20"/>
        </w:rPr>
        <w:t xml:space="preserve">To further ensure director accountability to stockholders, in November 2024 the Board of Directors also adopted a majority vote standard in uncontested elections to require a director to tender his or her resignation to the Board of Directors if he or she receives more “withhold” than “for” votes in an uncontested election. </w:t>
      </w:r>
    </w:p>
    <w:p>
      <w:pPr>
        <w:pStyle w:val="TextBody"/>
        <w:bidi w:val="0"/>
        <w:spacing w:before="240" w:after="0"/>
        <w:jc w:val="left"/>
        <w:rPr>
          <w:rFonts w:ascii="Times New Roman" w:hAnsi="Times New Roman"/>
          <w:sz w:val="20"/>
        </w:rPr>
      </w:pPr>
      <w:r>
        <w:rPr>
          <w:rFonts w:ascii="Times New Roman" w:hAnsi="Times New Roman"/>
          <w:sz w:val="20"/>
        </w:rPr>
        <w:t xml:space="preserve">In 2025, the Corporate Governance and Compensation Committee focused on refreshing the composition of the Board of Directors, including identifying potential candidates with the skills, attributes and experience that matched the current needs of the Board of Directors. The Corporate Governance and Compensation Committee and Board of Directors considered a wide range of factors in assessing the composition of the Board of Directors, including: </w:t>
      </w:r>
    </w:p>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input on important elements of Board composition;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skill sets necessary to oversee the successful development and implementation of our business strategies;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balancing fresh, diverse perspectives with institutional and industry knowledge;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 and long-term needs of the Board; and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independence and potential conflicts.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efforts resulted in the appointment of David I. Finkelstein to the Board of Directors, effective January 1, 2026. Also earlier this year, one of our longest-tenured directors, Elliot H. Stein, Jr., advised us that he would retire at the conclusion of our 2026 fiscal year effective September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 w:name="toc30979_6"/>
      <w:bookmarkEnd w:id="8"/>
      <w:r>
        <w:rPr>
          <w:rFonts w:ascii="Times New Roman" w:hAnsi="Times New Roman"/>
          <w:b/>
          <w:sz w:val="20"/>
        </w:rPr>
        <w:t xml:space="preserve">Director Independence and Role of the Independent Lead Director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 Lead Director may be appointed by the Board of Directors under appropriate circumstances determined by the Board of Directors. If the Board of Directors has not so designated a Lead Director, then 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Effective July 30, 2025, the Board of Directors appointed Mr. Erickson as our Lead Director. Mr. Erickson serves as an independent liaison between the Chairman of the Board, the Chief Executive Officer, the other members of our Board and management of our Company. Mr. Erickson has extensive knowledge of BellRing’s strategic objectives, the industry in which BellRing operates and the areas of strategic importance to BellRing. Our Chief Executive Officer confers regularly with Mr. Erickson on a variety of topics, including updates on the Company’s business and other strategic matters. </w:t>
      </w:r>
    </w:p>
    <w:p>
      <w:pPr>
        <w:pStyle w:val="TextBody"/>
        <w:bidi w:val="0"/>
        <w:spacing w:before="360" w:after="0"/>
        <w:jc w:val="left"/>
        <w:rPr>
          <w:rFonts w:ascii="Times New Roman" w:hAnsi="Times New Roman"/>
          <w:b/>
          <w:sz w:val="20"/>
        </w:rPr>
      </w:pPr>
      <w:bookmarkStart w:id="9" w:name="toc30979_7"/>
      <w:bookmarkEnd w:id="9"/>
      <w:r>
        <w:rPr>
          <w:rFonts w:ascii="Times New Roman" w:hAnsi="Times New Roman"/>
          <w:b/>
          <w:sz w:val="20"/>
        </w:rPr>
        <w:t xml:space="preserve">Policy Relating to the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Elections of the Board of Directors are conducted in accordance with the Company’s Certificate of Incorporation, Bylaws and the laws of the state of Delaware and provide that directors are to be elected at a meeting of the Company’s stockholders by a plurality of the votes cast. Under the Company’s Amended Corporate Governance Guidelines adopted in November 2024, if in any uncontested election of directors, a director nominee has a greater number of votes “withheld” from his or her election than votes cast “for” his or her election, such director nominee shall promptly tender his or her resignation for consideration by the Corporate Governance and Compensation Committee. A vote will be considered “withheld” from a director nominee if a stockholder withholds authority to vote for such director nominee in any proxy granted by such stockholder in accordance with instructions contained in the proxy statement or accompanying proxy card circulated for the meeting of stockholders at which the election of directors is to be held. The Corporate Governance and Compensation Committee will then promptly evaluate all factors or other information it determines relevant including, without limitation, (i) the underlying reason for the vote result, if known, (ii) the incumbent director nominee’s contributions to the Company during his or her tenure, and (iii) the director’s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applicable legal or regulatory requirements, the Corporate Governance and Compensation Committee shall, within ninety (90) days from the date of the stockholder vote, decide whether to accept or reject the resignation. A full explanation of the Corporate Governance and Compensation Committee’s decision will be promptly publicly disclosed in a periodic or current report filed with the SEC. Any director who tenders his or her resignation pursuant to this director resignation policy will not participate in the deliberations and decisions made with respect to his or her resignation or the resignation of any other director nominee who similarly tendered his or her resignation by virtue of the vote at the same annual meeting of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Code of Conduct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w:t>
      </w:r>
    </w:p>
    <w:p>
      <w:pPr>
        <w:pStyle w:val="TextBody"/>
        <w:bidi w:val="0"/>
        <w:spacing w:before="120" w:after="0"/>
        <w:jc w:val="left"/>
        <w:rPr>
          <w:rFonts w:ascii="Times New Roman" w:hAnsi="Times New Roman"/>
          <w:sz w:val="20"/>
        </w:rPr>
      </w:pPr>
      <w:r>
        <w:rPr>
          <w:rFonts w:ascii="Times New Roman" w:hAnsi="Times New Roman"/>
          <w:sz w:val="20"/>
        </w:rPr>
        <w:t>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Policies and Procedures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We have adopted a global insider trading policy governing the purchase, sale, and/or other dispositions of our securities by directors, officers and employees. The insider trading policy requires compliance with all applicable laws, rules and regulations governing the offer and sale of securities and prohibits directors, officers and employees from engaging in transactions in our securities while in possession of material nonpublic information. The insider trading policy establishes quarterly blackout periods during which trading in our securities is prohibited. These blackout periods begin on the sixth business day of the last month of each calendar quarter and end on the start of the second business day following the issuance of the Company’s press release of its financial results for the reporting period that includes such calendar quarter. In addition, the insider trading policy requires senior officers and key employees to obtain </w:t>
      </w:r>
    </w:p>
    <w:p>
      <w:pPr>
        <w:pStyle w:val="TextBody"/>
        <w:bidi w:val="0"/>
        <w:spacing w:before="120" w:after="0"/>
        <w:jc w:val="left"/>
        <w:rPr>
          <w:rFonts w:ascii="Times New Roman" w:hAnsi="Times New Roman"/>
          <w:sz w:val="20"/>
        </w:rPr>
      </w:pPr>
      <w:r>
        <w:rPr>
          <w:rFonts w:ascii="Times New Roman" w:hAnsi="Times New Roman"/>
          <w:sz w:val="20"/>
        </w:rPr>
        <w:t>pre-approval</w:t>
      </w:r>
    </w:p>
    <w:p>
      <w:pPr>
        <w:pStyle w:val="TextBody"/>
        <w:bidi w:val="0"/>
        <w:spacing w:before="120" w:after="0"/>
        <w:jc w:val="left"/>
        <w:rPr>
          <w:rFonts w:ascii="Times New Roman" w:hAnsi="Times New Roman"/>
          <w:sz w:val="20"/>
        </w:rPr>
      </w:pPr>
      <w:r>
        <w:rPr>
          <w:rFonts w:ascii="Times New Roman" w:hAnsi="Times New Roman"/>
          <w:sz w:val="20"/>
        </w:rPr>
        <w:t xml:space="preserve">of any transactions in our securities from our Chief Compliance Officer. A copy of our global insider trading policy is filed as Exhibit 19.1 to our Annual Report on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Pursuant to our code of conduct, each director and officer has an obligation not to engage in any transaction that could be deemed a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Policy on Hedging and Pledging Company Stock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 (i) transactions in put and call options or other hedging transactions (including, but not limited to, prepaid variable forward contracts, equity swaps, collars or exchange funds) and (ii) pledging, </w:t>
      </w:r>
    </w:p>
    <w:p>
      <w:pPr>
        <w:pStyle w:val="TextBody"/>
        <w:bidi w:val="0"/>
        <w:spacing w:before="120" w:after="0"/>
        <w:jc w:val="left"/>
        <w:rPr>
          <w:rFonts w:ascii="Times New Roman" w:hAnsi="Times New Roman"/>
          <w:sz w:val="20"/>
        </w:rPr>
      </w:pPr>
      <w:r>
        <w:rPr>
          <w:rFonts w:ascii="Times New Roman" w:hAnsi="Times New Roman"/>
          <w:sz w:val="20"/>
        </w:rPr>
        <w:t xml:space="preserve">hypothecating </w:t>
      </w:r>
    </w:p>
    <w:p>
      <w:pPr>
        <w:pStyle w:val="TextBody"/>
        <w:bidi w:val="0"/>
        <w:spacing w:before="120" w:after="0"/>
        <w:jc w:val="left"/>
        <w:rPr>
          <w:rFonts w:ascii="Times New Roman" w:hAnsi="Times New Roman"/>
          <w:sz w:val="20"/>
        </w:rPr>
      </w:pPr>
      <w:r>
        <w:rPr>
          <w:rFonts w:ascii="Times New Roman" w:hAnsi="Times New Roman"/>
          <w:sz w:val="20"/>
        </w:rPr>
        <w:t xml:space="preserve">or otherwise encumbering the Company’s common stock or other equity securities as collateral for indebtedness, including holding such securities in a margin account.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Structure of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On November 12, 2025, the Board of Directors increased the size of the Board of Directors from seven to eight persons and appointed David I. Finkelstein as a Class I Director effective as of January 1, 2026. Our Certificate of Incorporation and Bylaws provide for a classified Board of Directors through the date of our 2027 annual meeting of stockholders, with the Board of Directors divided into three classes as equal in size as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possible. At our 2025 annual meeting, stockholders approved an amendment to our Certificate of Incorporation that declassifies our Board of Directors over a three-year phase-in period commencing with the 2025 annual meeting of stockholders. Directors whose current terms expire at the annual meetings of stockholders in 2026, 2027 and every year thereafter will be elected for one-year terms ending at the following year’s annual meeting or until a director’s earlier death, resignation or removal and until his or her successor is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size of the Board of Directors can be changed by a vote of its members, and in the event of any increase or decrease in the number of directors, the directors in each class shall be adjusted as necessary so that all classes shall be as equal in number as reasonably possible for so long as the Board of Directors remains classified. However, no reduction in the number of directors shall affect the term of office of any incumbent director. Vacancies on the Board of Directors may be filled by a majority vote of the remaining directors, and the Board of Directors determines the class to which any director shall be assigned for so long as the Board of Directors remains classified.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 </w:t>
      </w:r>
    </w:p>
    <w:p>
      <w:pPr>
        <w:pStyle w:val="TextBody"/>
        <w:bidi w:val="0"/>
        <w:spacing w:before="360" w:after="0"/>
        <w:jc w:val="left"/>
        <w:rPr>
          <w:rFonts w:ascii="Times New Roman" w:hAnsi="Times New Roman"/>
          <w:b/>
          <w:sz w:val="20"/>
        </w:rPr>
      </w:pPr>
      <w:bookmarkStart w:id="10" w:name="toc30979_13"/>
      <w:bookmarkEnd w:id="10"/>
      <w:r>
        <w:rPr>
          <w:rFonts w:ascii="Times New Roman" w:hAnsi="Times New Roman"/>
          <w:b/>
          <w:sz w:val="20"/>
        </w:rPr>
        <w:t xml:space="preserve">Board Meetings and Committees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2025. During fiscal year 2025,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 of stockholders and, accordingly, two directors attended the 2025 annual meeting of stockholders. As of December 8, 2025, the Board of Directors and committee members were as follows: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750"/>
        <w:gridCol w:w="120"/>
        <w:gridCol w:w="137"/>
        <w:gridCol w:w="528"/>
        <w:gridCol w:w="60"/>
        <w:gridCol w:w="120"/>
        <w:gridCol w:w="125"/>
        <w:gridCol w:w="480"/>
        <w:gridCol w:w="60"/>
        <w:gridCol w:w="120"/>
        <w:gridCol w:w="308"/>
        <w:gridCol w:w="1182"/>
        <w:gridCol w:w="60"/>
        <w:gridCol w:w="120"/>
        <w:gridCol w:w="208"/>
        <w:gridCol w:w="802"/>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Corporate</w:t>
              <w:br/>
              <w:t>Governance</w:t>
              <w:br/>
              <w:t>and</w:t>
              <w:b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Executive</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V. Vitale</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Darcy Horn Davenport</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Elliot H. Stein, Jr.</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Shawn W. Conway</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Thomas P. Erickson</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Kuperman Johnson</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Chonda J. Nwamu</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Meetings held in fiscal year 2025</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pPr>
      <w:r>
        <w:rPr/>
        <w:t xml:space="preserve">✓ — </w:t>
      </w:r>
      <w:r>
        <w:rPr>
          <w:rFonts w:ascii="Times New Roman" w:hAnsi="Times New Roman"/>
          <w:sz w:val="20"/>
        </w:rPr>
        <w:t xml:space="preserve">Chair    ● — Member </w:t>
      </w:r>
    </w:p>
    <w:p>
      <w:pPr>
        <w:pStyle w:val="TextBody"/>
        <w:bidi w:val="0"/>
        <w:spacing w:before="240" w:after="0"/>
        <w:jc w:val="left"/>
        <w:rPr>
          <w:rFonts w:ascii="Times New Roman" w:hAnsi="Times New Roman"/>
          <w:sz w:val="20"/>
        </w:rPr>
      </w:pPr>
      <w:r>
        <w:rPr>
          <w:rFonts w:ascii="Times New Roman" w:hAnsi="Times New Roman"/>
          <w:sz w:val="20"/>
        </w:rPr>
        <w:t xml:space="preserve">Upon David I. Finkelstein’s appointment to the Board of Directors effective on January 1, 2026, Mr. Finkelstein will serve as a member of the Audit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 (e) compliance with legal and regulatory requirements, codes of conduct and ethics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www.bellring.com.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26 of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and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and Compensation Committee (a) determines the compensation level of our Section 16 officers, (b) reviews management’s Compensation Discussion and Analysis relating to our executive compensation programs and approves the inclusion of the same in our proxy statement and/or annual report to stockholders, (c) issues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 the Company, (iii) identifies individuals qualified to become members of our Board of Directors, and (iv) makes determinations with respect to resignations tendered by directors pursuant to the Company’s director resignation policy in its Amended Corporate Governance Guidelines. The Corporate Governance and Compensation Committee has the authority to delegate any of its responsibilities to subcommittees as it deems appropriate, provided that such subcommittees are composed entirely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Times New Roman" w:hAnsi="Times New Roman"/>
          <w:i/>
          <w:sz w:val="20"/>
        </w:rPr>
        <w:t>www.bellring.com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Executive Committee may exercise all Board authority in the intervals between Board meetings, to the extent such authority is in compliance with our Corporate Governance Guidelines and does not infringe upon the duties and responsibilities of other Board committees. </w:t>
      </w:r>
    </w:p>
    <w:p>
      <w:pPr>
        <w:pStyle w:val="TextBody"/>
        <w:bidi w:val="0"/>
        <w:spacing w:before="360" w:after="0"/>
        <w:jc w:val="left"/>
        <w:rPr>
          <w:rFonts w:ascii="Times New Roman" w:hAnsi="Times New Roman"/>
          <w:b/>
          <w:sz w:val="20"/>
        </w:rPr>
      </w:pPr>
      <w:bookmarkStart w:id="11" w:name="toc30979_14"/>
      <w:bookmarkEnd w:id="11"/>
      <w:r>
        <w:rPr>
          <w:rFonts w:ascii="Times New Roman" w:hAnsi="Times New Roman"/>
          <w:b/>
          <w:sz w:val="20"/>
        </w:rPr>
        <w:t xml:space="preserve">Nomination Process for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Bylaws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then presented to the Board of Directors for consideration and approval. Our Chairman or the chairman of the Corporate Governance and Compensation Committee may extend an invitation to join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Bylaws, should be submitted in writing to our corporate secretary. Stockholders wishing to suggest a candidate for director nomination for the 2027 annual meeting of stockholders should mail their suggestions to our principal executive offices at BellRing Brands, Inc., 1 N Brentwood Blvd., Suite 1550, St. Louis, Missouri 63105, Attn: Corporate Secretary. Suggestions must be received by the corporate secretary no earlier than September 30, 2026 and no later than October 30, 2026. </w:t>
      </w:r>
    </w:p>
    <w:p>
      <w:pPr>
        <w:pStyle w:val="TextBody"/>
        <w:bidi w:val="0"/>
        <w:spacing w:before="360" w:after="0"/>
        <w:jc w:val="left"/>
        <w:rPr>
          <w:rFonts w:ascii="Times New Roman" w:hAnsi="Times New Roman"/>
          <w:b/>
          <w:sz w:val="20"/>
        </w:rPr>
      </w:pPr>
      <w:bookmarkStart w:id="12" w:name="toc30979_15"/>
      <w:bookmarkEnd w:id="12"/>
      <w:r>
        <w:rPr>
          <w:rFonts w:ascii="Times New Roman" w:hAnsi="Times New Roman"/>
          <w:b/>
          <w:sz w:val="20"/>
        </w:rPr>
        <w:t xml:space="preserve">Other Board Service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do not prohibit our directors from serving on boards or committees of other organizations, except that no Audit Committee member may serve on more than two other public company audit committees absent a judgment by the Board of Directors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being the chairman of our Board of Directors, Mr. Vitale serves as Chairman of the Board of Directors of our former parent company, the publicly traded Post Holdings, Inc. (“Post”), as well as the board of directors of the publicly traded company Energizer Holdings, Inc. We believe that Mr. Vitale has the capacity to serve in these various roles.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Mr. Vitale has served as chairman of BellRing since November 2024 and, before that, served as executive chairman of BellRing since its formation shortly before our October 2019 initial public offering. Since he began serving as BellRing’s executive chairman in 2019, Mr. Vitale’s service on the boards of Post and Energizer Holdings, Inc. has not impacted the discharge of his duties as chairman of BellRing. As such, our Board of Directors does not believe that Mr. Vitale’s other board commitments have interfered or will interfere with Mr. Vitale’s discharge of his duties as chairman of our Board of Directors. </w:t>
      </w:r>
    </w:p>
    <w:p>
      <w:pPr>
        <w:pStyle w:val="TextBody"/>
        <w:bidi w:val="0"/>
        <w:spacing w:before="360" w:after="0"/>
        <w:jc w:val="left"/>
        <w:rPr>
          <w:rFonts w:ascii="Times New Roman" w:hAnsi="Times New Roman"/>
          <w:b/>
          <w:sz w:val="20"/>
        </w:rPr>
      </w:pPr>
      <w:bookmarkStart w:id="13" w:name="toc30979_16"/>
      <w:bookmarkEnd w:id="13"/>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 </w:t>
      </w:r>
    </w:p>
    <w:p>
      <w:pPr>
        <w:pStyle w:val="TextBody"/>
        <w:bidi w:val="0"/>
        <w:spacing w:before="240" w:after="0"/>
        <w:jc w:val="left"/>
        <w:rPr>
          <w:rFonts w:ascii="Times New Roman" w:hAnsi="Times New Roman"/>
          <w:sz w:val="20"/>
        </w:rPr>
      </w:pPr>
      <w:r>
        <w:rPr>
          <w:rFonts w:ascii="Times New Roman" w:hAnsi="Times New Roman"/>
          <w:sz w:val="20"/>
        </w:rPr>
        <w:t xml:space="preserve">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 term financial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4" w:name="toc30979_17"/>
      <w:bookmarkEnd w:id="14"/>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current Board leadership structure consists of: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separate Chairman of the Board and Chief Executive Officer roles;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independent Lead Director;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non-management directors except for the Chairman of the Board and Chief Executive Officer;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independent Audit and Corporate Governance and Compensation Committees; and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governance practices that promote independent leadership and oversight.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Separate Chairman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 formal policy with respect to separation of the offices of Chairman of the Board and Chief Executive Officer, and the Board of Directors believes that it should maintain flexibility to select our chairperson and Board leadership structure from time to time. However, our current Board leadership structure consists of separate Chairman of the Board and Chief Executive roles. Robert V. Vitale serves as Chairman of the Board and Darcy Horn Davenport serves as our Chief Executive Officer. Ms. Davenport is also a member of the Board. The Board believes that this leadership structure, which separates the Chairman and Chief Executive Officer roles, is optimal at this time because it allows 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 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Independent Lead Director and 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July 30, 2025, Mr. Erickson was appointed as our independent Lead Director. The Lead Director’s duties are described above under “Director Independence and Role of the Independent Lead Director.”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Lead Director, six of our eight Board members and nominees are independent.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 </w:t>
      </w:r>
    </w:p>
    <w:p>
      <w:pPr>
        <w:pStyle w:val="TextBody"/>
        <w:bidi w:val="0"/>
        <w:spacing w:before="360" w:after="0"/>
        <w:jc w:val="left"/>
        <w:rPr>
          <w:rFonts w:ascii="Times New Roman" w:hAnsi="Times New Roman"/>
          <w:b/>
          <w:sz w:val="20"/>
        </w:rPr>
      </w:pPr>
      <w:bookmarkStart w:id="15" w:name="toc30979_18"/>
      <w:bookmarkEnd w:id="15"/>
      <w:r>
        <w:rPr>
          <w:rFonts w:ascii="Times New Roman" w:hAnsi="Times New Roman"/>
          <w:b/>
          <w:sz w:val="20"/>
        </w:rPr>
        <w:t xml:space="preserve">Director Evaluations </w:t>
      </w:r>
    </w:p>
    <w:p>
      <w:pPr>
        <w:pStyle w:val="TextBody"/>
        <w:bidi w:val="0"/>
        <w:spacing w:before="120" w:after="0"/>
        <w:jc w:val="left"/>
        <w:rPr>
          <w:rFonts w:ascii="Times New Roman" w:hAnsi="Times New Roman"/>
          <w:sz w:val="20"/>
        </w:rPr>
      </w:pPr>
      <w:r>
        <w:rPr>
          <w:rFonts w:ascii="Times New Roman" w:hAnsi="Times New Roman"/>
          <w:sz w:val="20"/>
        </w:rPr>
        <w:t xml:space="preserve">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 </w:t>
      </w:r>
    </w:p>
    <w:p>
      <w:pPr>
        <w:pStyle w:val="TextBody"/>
        <w:bidi w:val="0"/>
        <w:spacing w:before="360" w:after="0"/>
        <w:jc w:val="left"/>
        <w:rPr>
          <w:rFonts w:ascii="Times New Roman" w:hAnsi="Times New Roman"/>
          <w:b/>
          <w:sz w:val="20"/>
        </w:rPr>
      </w:pPr>
      <w:bookmarkStart w:id="16" w:name="toc30979_19"/>
      <w:bookmarkEnd w:id="16"/>
      <w:r>
        <w:rPr>
          <w:rFonts w:ascii="Times New Roman" w:hAnsi="Times New Roman"/>
          <w:b/>
          <w:sz w:val="20"/>
        </w:rPr>
        <w:t xml:space="preserve">Policy on Director Diversity </w:t>
      </w:r>
    </w:p>
    <w:p>
      <w:pPr>
        <w:pStyle w:val="TextBody"/>
        <w:bidi w:val="0"/>
        <w:spacing w:before="120" w:after="0"/>
        <w:jc w:val="left"/>
        <w:rPr>
          <w:rFonts w:ascii="Times New Roman" w:hAnsi="Times New Roman"/>
          <w:sz w:val="20"/>
        </w:rPr>
      </w:pPr>
      <w:r>
        <w:rPr>
          <w:rFonts w:ascii="Times New Roman" w:hAnsi="Times New Roman"/>
          <w:sz w:val="20"/>
        </w:rPr>
        <w:t xml:space="preserve">Although the Corporate Governance and Compensation Committee does not have a written policy regarding diversity in identifying new director candidates, the Committee takes diversity into account in its search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best available candidates to serve on the Board of Directors. The Committee believes that maintaining a diverse membership with varying backgrounds, skills, expertise and other differentiating personal characteristics,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eight directors and director nominees are women, Ms. Davenport, also our Chief Executive Officer, Ms. Kuperman Johnson and Ms. Nwamu, and Ms. Nwamu is African American. </w:t>
      </w:r>
    </w:p>
    <w:p>
      <w:pPr>
        <w:pStyle w:val="TextBody"/>
        <w:bidi w:val="0"/>
        <w:spacing w:before="360" w:after="0"/>
        <w:jc w:val="left"/>
        <w:rPr>
          <w:rFonts w:ascii="Times New Roman" w:hAnsi="Times New Roman"/>
          <w:b/>
          <w:sz w:val="20"/>
        </w:rPr>
      </w:pPr>
      <w:bookmarkStart w:id="17" w:name="toc30979_20"/>
      <w:bookmarkEnd w:id="17"/>
      <w:r>
        <w:rPr>
          <w:rFonts w:ascii="Times New Roman" w:hAnsi="Times New Roman"/>
          <w:b/>
          <w:sz w:val="20"/>
        </w:rPr>
        <w:t xml:space="preserve">Communication with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parties interested in communicating directly with our Board of Directors, an individual director or with the non-management directors as a group may do so by writing to the individual director or group, c/o BellRing Brands, Inc., 1 N Brentwood Blvd., Suite 1550, St. Louis, Missouri 63105, Attn: Corporate Secretary or via email to investor.relations@bellringbrands.com.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 </w:t>
      </w:r>
    </w:p>
    <w:p>
      <w:pPr>
        <w:pStyle w:val="TextBody"/>
        <w:bidi w:val="0"/>
        <w:spacing w:before="360" w:after="0"/>
        <w:jc w:val="left"/>
        <w:rPr>
          <w:rFonts w:ascii="Times New Roman" w:hAnsi="Times New Roman"/>
          <w:b/>
          <w:sz w:val="20"/>
        </w:rPr>
      </w:pPr>
      <w:bookmarkStart w:id="18" w:name="toc30979_21"/>
      <w:bookmarkEnd w:id="18"/>
      <w:r>
        <w:rPr>
          <w:rFonts w:ascii="Times New Roman" w:hAnsi="Times New Roman"/>
          <w:b/>
          <w:sz w:val="20"/>
        </w:rPr>
        <w:t xml:space="preserve">Environmental Sustainability and Social Matters </w:t>
      </w:r>
    </w:p>
    <w:p>
      <w:pPr>
        <w:pStyle w:val="TextBody"/>
        <w:bidi w:val="0"/>
        <w:spacing w:before="120" w:after="0"/>
        <w:jc w:val="left"/>
        <w:rPr>
          <w:rFonts w:ascii="Times New Roman" w:hAnsi="Times New Roman"/>
          <w:sz w:val="20"/>
        </w:rPr>
      </w:pPr>
      <w:r>
        <w:rPr>
          <w:rFonts w:ascii="Times New Roman" w:hAnsi="Times New Roman"/>
          <w:sz w:val="20"/>
        </w:rPr>
        <w:t xml:space="preserve">We recognize the importance of Environmental, Social and Governance (“ESG”) issues for our stakeholders and are committed to incorporating ESG principles into our business strategies and organizational culture. The Audit Committee of our Board of Directors provides direction with respect to the evolving priorities of ESG topics and initiatives and receives quarterly reports and updates on relevant ESG topics and progress against our initiatives. Our Executive Sustainability Steering committee, which is comprised of senior leaders within our organization, provides guidance on goals and strategies and makes recommendations on disclosure and reporting guidelines. Our Sustainability Operations Committee, which is comprised of technical experts within key business functions, meets regularly to implement programs and track progress on key objectives. </w:t>
      </w:r>
    </w:p>
    <w:p>
      <w:pPr>
        <w:pStyle w:val="TextBody"/>
        <w:bidi w:val="0"/>
        <w:spacing w:before="360" w:after="0"/>
        <w:jc w:val="left"/>
        <w:rPr>
          <w:rFonts w:ascii="Times New Roman" w:hAnsi="Times New Roman"/>
          <w:i/>
          <w:sz w:val="20"/>
        </w:rPr>
      </w:pPr>
      <w:r>
        <w:rPr>
          <w:rFonts w:ascii="Times New Roman" w:hAnsi="Times New Roman"/>
          <w:i/>
          <w:sz w:val="20"/>
        </w:rPr>
        <w:t xml:space="preserve">Environmental Sustainability </w:t>
      </w:r>
    </w:p>
    <w:p>
      <w:pPr>
        <w:pStyle w:val="TextBody"/>
        <w:bidi w:val="0"/>
        <w:spacing w:before="120" w:after="0"/>
        <w:jc w:val="left"/>
        <w:rPr>
          <w:rFonts w:ascii="Times New Roman" w:hAnsi="Times New Roman"/>
          <w:sz w:val="20"/>
        </w:rPr>
      </w:pPr>
      <w:r>
        <w:rPr>
          <w:rFonts w:ascii="Times New Roman" w:hAnsi="Times New Roman"/>
          <w:sz w:val="20"/>
        </w:rPr>
        <w:t xml:space="preserve">Based on the materiality assessment we conducted in 2022, details of which can be found in our 2023 annual Impact Report, we identified six strategic areas in which to focus our ESG efforts. This materiality assessment has had a concrete impact on the actions that we’ve taken over the past three years and continues to guide our approach to developing our strategy. While our focus areas remain consistent, our initiatives evolve each year based on emerging opportunities and stakeholder input. In 2025, our efforts were centered on building a regenerative agriculture partnership with a strategic dairy protein supplier, reducing manufacturing waste, expanding supplier data collection and advancing progress toward our packaging targets. </w:t>
      </w:r>
    </w:p>
    <w:p>
      <w:pPr>
        <w:pStyle w:val="TextBody"/>
        <w:bidi w:val="0"/>
        <w:spacing w:before="240" w:after="0"/>
        <w:jc w:val="left"/>
        <w:rPr>
          <w:rFonts w:ascii="Times New Roman" w:hAnsi="Times New Roman"/>
          <w:sz w:val="20"/>
        </w:rPr>
      </w:pPr>
      <w:r>
        <w:rPr>
          <w:rFonts w:ascii="Times New Roman" w:hAnsi="Times New Roman"/>
          <w:sz w:val="20"/>
        </w:rPr>
        <w:t xml:space="preserve">Because a majority of these areas are within our supply chain, we have focused our efforts on establishing a standardized data collection process to better understand performance, identify areas for improvement, and build initiatives and partnerships with suppliers and co-manufacturers. This work was based on data obtained through a third-party supported materiality assessment, Scope 1 &amp; 2 greenhouse gas (GHG) emissions inventories and a Scope 3 GHG emissions screen.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2025, we launched our second Supplier Sustainability Survey to enhance visibility into our upstream impacts. Our initial 2023 survey laid the groundwork by helping us understand supplier practices, identify areas of alignment, build stronger relationships, establish baseline data, and gain insight into data collection capabilities and best practices. Building on that foundation, this year’s survey expanded in both scope and focus – dairy protein, co-manufacturing, packaging and raw materials. </w:t>
      </w:r>
    </w:p>
    <w:p>
      <w:pPr>
        <w:pStyle w:val="TextBody"/>
        <w:bidi w:val="0"/>
        <w:spacing w:before="240" w:after="0"/>
        <w:jc w:val="left"/>
        <w:rPr>
          <w:rFonts w:ascii="Times New Roman" w:hAnsi="Times New Roman"/>
          <w:sz w:val="20"/>
        </w:rPr>
      </w:pPr>
      <w:r>
        <w:rPr>
          <w:rFonts w:ascii="Times New Roman" w:hAnsi="Times New Roman"/>
          <w:sz w:val="20"/>
        </w:rPr>
        <w:t xml:space="preserve">We remain committed to improved transparency around our programs and practices that impact ESG. In the first calendar quarter of 2026, we will publish our annual Impact Report. Our Impact Report will be available on our website at </w:t>
      </w:r>
      <w:r>
        <w:rPr>
          <w:rFonts w:ascii="Times New Roman" w:hAnsi="Times New Roman"/>
          <w:i/>
          <w:sz w:val="20"/>
        </w:rPr>
        <w:t>www.bellring.com/impact</w:t>
      </w:r>
      <w:r>
        <w:rPr>
          <w:rFonts w:ascii="Times New Roman" w:hAnsi="Times New Roman"/>
          <w:sz w:val="20"/>
        </w:rPr>
        <w:t xml:space="preserve">. Information on our website, including our Impact Report, does not constitute part of (and shall not be deemed incorporated by reference into) this proxy statement or any other document we file with the SEC. </w:t>
      </w:r>
    </w:p>
    <w:p>
      <w:pPr>
        <w:pStyle w:val="TextBody"/>
        <w:bidi w:val="0"/>
        <w:spacing w:before="360" w:after="0"/>
        <w:jc w:val="left"/>
        <w:rPr>
          <w:rFonts w:ascii="Times New Roman" w:hAnsi="Times New Roman"/>
          <w:i/>
          <w:sz w:val="20"/>
        </w:rPr>
      </w:pPr>
      <w:r>
        <w:rPr>
          <w:rFonts w:ascii="Times New Roman" w:hAnsi="Times New Roman"/>
          <w:i/>
          <w:sz w:val="20"/>
        </w:rPr>
        <w:t xml:space="preserve">Empowering Our People </w:t>
      </w:r>
    </w:p>
    <w:p>
      <w:pPr>
        <w:pStyle w:val="TextBody"/>
        <w:bidi w:val="0"/>
        <w:spacing w:before="120" w:after="0"/>
        <w:jc w:val="left"/>
        <w:rPr>
          <w:rFonts w:ascii="Times New Roman" w:hAnsi="Times New Roman"/>
          <w:sz w:val="20"/>
        </w:rPr>
      </w:pPr>
      <w:r>
        <w:rPr>
          <w:rFonts w:ascii="Times New Roman" w:hAnsi="Times New Roman"/>
          <w:sz w:val="20"/>
        </w:rPr>
        <w:t xml:space="preserve">We are a people-first culture. Our people are critical to our success and we prioritize providing a safe, rewarding and respectful workplace where our people are provided with opportunities to pursue career paths based on capabilities, performance and mindset. We adhere to our Code of Conduct, which sets forth a commitment to our stakeholders, including our employees, to operate with integrity and mutual respect. For the ninth year running, Premier Nutrition Company, LLC, our primary operating subsidiary (“Premier Nutrition”) has been named in the top 12 best small and medium workplaces in our category in the U.S. by </w:t>
      </w:r>
      <w:r>
        <w:rPr>
          <w:rFonts w:ascii="Times New Roman" w:hAnsi="Times New Roman"/>
          <w:i/>
          <w:sz w:val="20"/>
        </w:rPr>
        <w:t xml:space="preserve">Fortune Magazine </w:t>
      </w:r>
      <w:r>
        <w:rPr>
          <w:rFonts w:ascii="Times New Roman" w:hAnsi="Times New Roman"/>
          <w:sz w:val="20"/>
        </w:rPr>
        <w:t xml:space="preserve">and Great Places to Work® Institute. And, in fiscal 2025, Premier Nutrition placed 8th on the list. </w:t>
      </w:r>
    </w:p>
    <w:p>
      <w:pPr>
        <w:pStyle w:val="TextBody"/>
        <w:bidi w:val="0"/>
        <w:spacing w:before="360" w:after="0"/>
        <w:jc w:val="left"/>
        <w:rPr>
          <w:rFonts w:ascii="Times New Roman" w:hAnsi="Times New Roman"/>
          <w:i/>
          <w:sz w:val="20"/>
        </w:rPr>
      </w:pPr>
      <w:r>
        <w:rPr>
          <w:rFonts w:ascii="Times New Roman" w:hAnsi="Times New Roman"/>
          <w:i/>
          <w:sz w:val="20"/>
        </w:rPr>
        <w:t xml:space="preserve">Belonging </w:t>
      </w:r>
    </w:p>
    <w:p>
      <w:pPr>
        <w:pStyle w:val="TextBody"/>
        <w:bidi w:val="0"/>
        <w:spacing w:before="120" w:after="0"/>
        <w:jc w:val="left"/>
        <w:rPr>
          <w:rFonts w:ascii="Times New Roman" w:hAnsi="Times New Roman"/>
          <w:sz w:val="20"/>
        </w:rPr>
      </w:pPr>
      <w:r>
        <w:rPr>
          <w:rFonts w:ascii="Times New Roman" w:hAnsi="Times New Roman"/>
          <w:sz w:val="20"/>
        </w:rPr>
        <w:t xml:space="preserve">We foster a culture of belonging where everyone is able to do the best work of their professional lives and where each individual feels connected to our company purpose and values, as well as each other. We have implemented initiatives to track and improve our performance in this area, including having a CEO-sponsored, employee-led team that establishes strategies and initiatives towards this objective, tracks our progress and shares successes and key learnings. We also provide interactive anti-harassment training for both supervisory and non-supervisory employees taught by outside experts. Our Board of Directors receives periodic updates regarding our belonging efforts. </w:t>
      </w:r>
    </w:p>
    <w:p>
      <w:pPr>
        <w:pStyle w:val="TextBody"/>
        <w:bidi w:val="0"/>
        <w:spacing w:before="360" w:after="0"/>
        <w:jc w:val="left"/>
        <w:rPr>
          <w:rFonts w:ascii="Times New Roman" w:hAnsi="Times New Roman"/>
          <w:i/>
          <w:sz w:val="20"/>
        </w:rPr>
      </w:pPr>
      <w:r>
        <w:rPr>
          <w:rFonts w:ascii="Times New Roman" w:hAnsi="Times New Roman"/>
          <w:i/>
          <w:sz w:val="20"/>
        </w:rPr>
        <w:t xml:space="preserve">Community Involvement </w:t>
      </w:r>
    </w:p>
    <w:p>
      <w:pPr>
        <w:pStyle w:val="TextBody"/>
        <w:bidi w:val="0"/>
        <w:spacing w:before="120" w:after="0"/>
        <w:jc w:val="left"/>
        <w:rPr>
          <w:rFonts w:ascii="Times New Roman" w:hAnsi="Times New Roman"/>
          <w:sz w:val="20"/>
        </w:rPr>
      </w:pPr>
      <w:r>
        <w:rPr>
          <w:rFonts w:ascii="Times New Roman" w:hAnsi="Times New Roman"/>
          <w:sz w:val="20"/>
        </w:rPr>
        <w:t xml:space="preserve">We are passionate about supporting the communities in which we live and work and use our time, talent and resources to give back. We support local charities with our time during “all company” give back days each year and supporting our employees with paid volunteer time off. We also support our employees who are passionate about a cause by matching their donations one-to-one. Additionally, we make donations to philanthropic organizations that align with our purpose, culture and community. In 2025, the </w:t>
      </w:r>
      <w:r>
        <w:rPr>
          <w:rFonts w:ascii="Times New Roman" w:hAnsi="Times New Roman"/>
          <w:i/>
          <w:sz w:val="20"/>
        </w:rPr>
        <w:t xml:space="preserve">San Francisco Business Times </w:t>
      </w:r>
      <w:r>
        <w:rPr>
          <w:rFonts w:ascii="Times New Roman" w:hAnsi="Times New Roman"/>
          <w:sz w:val="20"/>
        </w:rPr>
        <w:t xml:space="preserve">again identified Premier Nutrition as one of the Top 100 Bay Area Corporate Philanthropists as it has for the last several years. </w:t>
      </w:r>
    </w:p>
    <w:p>
      <w:pPr>
        <w:pStyle w:val="TextBody"/>
        <w:bidi w:val="0"/>
        <w:spacing w:before="360" w:after="0"/>
        <w:jc w:val="left"/>
        <w:rPr>
          <w:rFonts w:ascii="Times New Roman" w:hAnsi="Times New Roman"/>
          <w:b/>
          <w:sz w:val="20"/>
        </w:rPr>
      </w:pPr>
      <w:bookmarkStart w:id="19" w:name="toc30979_22"/>
      <w:bookmarkEnd w:id="19"/>
      <w:r>
        <w:rPr>
          <w:rFonts w:ascii="Times New Roman" w:hAnsi="Times New Roman"/>
          <w:b/>
          <w:sz w:val="20"/>
        </w:rPr>
        <w:t xml:space="preserve">Information Technology and Cybersecurity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(“IT”) systems for management of our business, including sourcing and supply chain, inventory management, receivables and payables, human capital management, finance and reporting tools and other business processes. The reliability and capacity of these systems is an important part of our ability to efficiently and effectively manage our business. With this in mind,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 the National Institute of Standards and Technology Cybersecurity Framework. This framework encompasses key processes,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policies and controls to ensure protection, detection, identification, response and recovery capabilities across our organization. Safeguards included in this framework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standard targeted controls to protect our environment, including antivirus, antimalware, multi- factor authentication, long and regularly changed passwords, email security and firewalls to protect our assets and our ability to maintain operations;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managed detect and response (MDR), security information and event management (SIEM) and vulnerability management;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incident response processes that incorporate third-party response retainers;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regular assessments to our cybersecurity program using external parties including cyber maturity assessments &amp; penetration tests;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required Service Organization Controls (SOC) reports for any supplier housing financial or mission critical data;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risk scoring of our critical suppliers;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central system backups and associated disaster recovery plans; and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training and awareness programs addressing cybersecurity and data privacy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are not able to prevent every potential technology failure, cybersecurity risk or third-party service interruption, we utilize business continuity plans to assist us in anticipating and mitigating failures. Through continuous assessment of our framework, we make improvements to mitigate new IT and cybersecurity risks as they arise. Our Audit Committee is responsible for overseeing matters relating to our IT and cybersecurity practices and initiatives. We also have designated specific roles who oversee IT and cybersecurity matters for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30979_23"/>
      <w:bookmarkEnd w:id="20"/>
      <w:r>
        <w:rPr>
          <w:rFonts w:ascii="Times New Roman" w:hAnsi="Times New Roman"/>
          <w:b/>
          <w:sz w:val="20"/>
        </w:rPr>
        <w:t xml:space="preserve">ELECTION OF DIRECTORS </w:t>
      </w:r>
    </w:p>
    <w:p>
      <w:pPr>
        <w:pStyle w:val="TextBody"/>
        <w:bidi w:val="0"/>
        <w:spacing w:before="240" w:after="0"/>
        <w:jc w:val="center"/>
        <w:rPr>
          <w:rFonts w:ascii="Times New Roman" w:hAnsi="Times New Roman"/>
          <w:b/>
          <w:sz w:val="20"/>
        </w:rPr>
      </w:pPr>
      <w:r>
        <w:rPr>
          <w:rFonts w:ascii="Times New Roman" w:hAnsi="Times New Roman"/>
          <w:b/>
          <w:sz w:val="20"/>
        </w:rPr>
        <w:t xml:space="preserve">(PROXY ITEM NO. 1) </w:t>
      </w:r>
    </w:p>
    <w:p>
      <w:pPr>
        <w:pStyle w:val="TextBody"/>
        <w:bidi w:val="0"/>
        <w:spacing w:before="240" w:after="0"/>
        <w:jc w:val="left"/>
        <w:rPr>
          <w:rFonts w:ascii="Times New Roman" w:hAnsi="Times New Roman"/>
          <w:sz w:val="20"/>
        </w:rPr>
      </w:pPr>
      <w:r>
        <w:rPr>
          <w:rFonts w:ascii="Times New Roman" w:hAnsi="Times New Roman"/>
          <w:sz w:val="20"/>
        </w:rPr>
        <w:t xml:space="preserve">The terms of five directors (Messrs. Vitale, Finkelstein and Stein and Mses. Davenport and Nwamu) will expire at the 2026 annual meeting of stockholders. Our Board of Directors has nominated Messrs. Vitale, Finkelstein and Stein and Mses. Davenport and Nwamu for election to the Board of Directors for a one-year term that will expire in 2027, except for Mr. Stein, who will serve through the date of his previously announced retirement on September 30, 2026. The Board of Directors is not aware that any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 </w:t>
      </w:r>
    </w:p>
    <w:p>
      <w:pPr>
        <w:pStyle w:val="TextBody"/>
        <w:bidi w:val="0"/>
        <w:spacing w:before="240" w:after="0"/>
        <w:jc w:val="left"/>
        <w:rPr>
          <w:rFonts w:ascii="Times New Roman" w:hAnsi="Times New Roman"/>
          <w:sz w:val="20"/>
        </w:rPr>
      </w:pPr>
      <w:r>
        <w:rPr>
          <w:rFonts w:ascii="Times New Roman" w:hAnsi="Times New Roman"/>
          <w:sz w:val="20"/>
        </w:rPr>
        <w:t xml:space="preserve">Messrs. Vitale and Stein and Ms. Davenport are currently directors and were originally elected to the Board in September 2019 prior to the closing of our initial public offering (our “IPO”). Ms. Nwamu is currently a director and was originally appointed to the Board effective in May 2021. Mr. Finkelstein was appointed to the Board of Directors on November 12, 2025, effective as of January 1, 2026. </w:t>
      </w:r>
    </w:p>
    <w:p>
      <w:pPr>
        <w:pStyle w:val="TextBody"/>
        <w:bidi w:val="0"/>
        <w:spacing w:before="240" w:after="0"/>
        <w:jc w:val="left"/>
        <w:rPr>
          <w:rFonts w:ascii="Times New Roman" w:hAnsi="Times New Roman"/>
          <w:sz w:val="20"/>
        </w:rPr>
      </w:pPr>
      <w:r>
        <w:rPr>
          <w:rFonts w:ascii="Times New Roman" w:hAnsi="Times New Roman"/>
          <w:sz w:val="20"/>
        </w:rPr>
        <w:t xml:space="preserve">The persons named on the proxy card intend to vote the proxy representing your shares for the election of each of Messrs. Vitale, Finkelstein and Stein and Mses. Davenport and Nwamu,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about the Current Directors and Nominees for Election to the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 </w:t>
      </w:r>
    </w:p>
    <w:p>
      <w:pPr>
        <w:pStyle w:val="TextBody"/>
        <w:bidi w:val="0"/>
        <w:spacing w:before="240" w:after="0"/>
        <w:jc w:val="left"/>
        <w:rPr>
          <w:rFonts w:ascii="Times New Roman" w:hAnsi="Times New Roman"/>
          <w:sz w:val="20"/>
        </w:rPr>
      </w:pPr>
      <w:r>
        <w:rPr>
          <w:rFonts w:ascii="Times New Roman" w:hAnsi="Times New Roman"/>
          <w:sz w:val="20"/>
        </w:rPr>
        <w:t xml:space="preserve">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Leadership Experience</w:t>
            </w:r>
            <w:r>
              <w:rPr>
                <w:rFonts w:ascii="Times New Roman" w:hAnsi="Times New Roman"/>
                <w:sz w:val="20"/>
              </w:rPr>
              <w:t xml:space="preserve">. We believe that directors with experience in significant leadership positions over an extended period generally possess strong abilities to motivate and manage others and to identify and develop leadership qualities in others. They also generally possess a practical understanding of organizations, processes, strategy, risk management and methods to drive change and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Financial or Accounting Acumen. </w:t>
            </w:r>
            <w:r>
              <w:rPr>
                <w:rFonts w:ascii="Times New Roman" w:hAnsi="Times New Roman"/>
                <w:sz w:val="20"/>
              </w:rPr>
              <w:t xml:space="preserve">We believe that an understanding of finance and financial reporting processes enables our directors to evaluate and understand the impact of business decisions on our financial statements and capital structure. In addition, accurate financial reporting and robust auditing are critical to our ongoing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Industry Experience.</w:t>
            </w:r>
            <w:r>
              <w:rPr>
                <w:rFonts w:ascii="Times New Roman" w:hAnsi="Times New Roman"/>
                <w:sz w:val="20"/>
              </w:rPr>
              <w:t xml:space="preserve"> We seek directors with experience as executives or directors or in other leadership positions in industries relevant to our business, including consumer packaged goods, branded products, retail or consumer product manufacturing.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Operational Experience.</w:t>
            </w:r>
            <w:r>
              <w:rPr>
                <w:rFonts w:ascii="Times New Roman" w:hAnsi="Times New Roman"/>
                <w:sz w:val="20"/>
              </w:rPr>
              <w:t xml:space="preserve"> We believe that directors who are current or former executives with direct operational responsibilities bring valuable practical insight to help to develop, implement and assess our operating plan and business strategy. Operational experience includes experience in areas such as marketing, supply chain, sustainability and commodity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Public Company Experience.</w:t>
            </w:r>
            <w:r>
              <w:rPr>
                <w:rFonts w:ascii="Times New Roman" w:hAnsi="Times New Roman"/>
                <w:sz w:val="20"/>
              </w:rPr>
              <w:t xml:space="preserve"> Directors with experience as executives or directors of other publicly traded companies generally are well prepared to fulfill the Board’s responsibilities of overseeing and providing insight and guidance to management, and help further our goals of greater transparency, accountability for management and the Board and protection of our stockholders’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when evaluating the suitability of individuals for nomination, the Corporate Governance and Compensation Committee considers other appropriate factors, including whether the individual satisfies applicable independence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is furnished with respect to each nominee for election as a director and each continuing director. The ages of the directors are as of December 16,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Matrix </w:t>
      </w:r>
    </w:p>
    <w:p>
      <w:pPr>
        <w:pStyle w:val="TextBody"/>
        <w:bidi w:val="0"/>
        <w:spacing w:before="120" w:after="0"/>
        <w:jc w:val="left"/>
        <w:rPr>
          <w:rFonts w:ascii="Times New Roman" w:hAnsi="Times New Roman"/>
          <w:sz w:val="20"/>
        </w:rPr>
      </w:pPr>
      <w:r>
        <w:rPr>
          <w:rFonts w:ascii="Times New Roman" w:hAnsi="Times New Roman"/>
          <w:sz w:val="20"/>
        </w:rPr>
        <w:t xml:space="preserve">The following matrix provides information regarding each nominee for election as a director and each continuing director, including certain types of experiences and skills that the Board of Directors has determined are important and certain diversity demographics. The matrix does not encompass all the experiences and skills of our directors, and the fact that a particular experience or skill is not listed does not mean that a director does not possess 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5"/>
        <w:gridCol w:w="120"/>
        <w:gridCol w:w="156"/>
        <w:gridCol w:w="598"/>
        <w:gridCol w:w="59"/>
        <w:gridCol w:w="62"/>
        <w:gridCol w:w="120"/>
        <w:gridCol w:w="199"/>
        <w:gridCol w:w="763"/>
        <w:gridCol w:w="76"/>
        <w:gridCol w:w="77"/>
        <w:gridCol w:w="120"/>
        <w:gridCol w:w="166"/>
        <w:gridCol w:w="640"/>
        <w:gridCol w:w="64"/>
        <w:gridCol w:w="65"/>
        <w:gridCol w:w="120"/>
        <w:gridCol w:w="201"/>
        <w:gridCol w:w="773"/>
        <w:gridCol w:w="77"/>
        <w:gridCol w:w="79"/>
        <w:gridCol w:w="120"/>
        <w:gridCol w:w="201"/>
        <w:gridCol w:w="773"/>
        <w:gridCol w:w="77"/>
        <w:gridCol w:w="79"/>
        <w:gridCol w:w="120"/>
        <w:gridCol w:w="148"/>
        <w:gridCol w:w="568"/>
        <w:gridCol w:w="56"/>
        <w:gridCol w:w="58"/>
        <w:gridCol w:w="120"/>
        <w:gridCol w:w="94"/>
        <w:gridCol w:w="362"/>
        <w:gridCol w:w="36"/>
        <w:gridCol w:w="38"/>
        <w:gridCol w:w="120"/>
        <w:gridCol w:w="108"/>
        <w:gridCol w:w="416"/>
        <w:gridCol w:w="41"/>
        <w:gridCol w:w="70"/>
      </w:tblGrid>
      <w:tr>
        <w:trPr/>
        <w:tc>
          <w:tcPr>
            <w:tcW w:w="2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Conway</w:t>
            </w:r>
          </w:p>
        </w:tc>
        <w:tc>
          <w:tcPr>
            <w:tcW w:w="120" w:type="dxa"/>
            <w:tcBorders/>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Davenport</w:t>
            </w:r>
          </w:p>
        </w:tc>
        <w:tc>
          <w:tcPr>
            <w:tcW w:w="120" w:type="dxa"/>
            <w:tcBorders/>
            <w:vAlign w:val="center"/>
          </w:tcPr>
          <w:p>
            <w:pPr>
              <w:pStyle w:val="TableContents"/>
              <w:bidi w:val="0"/>
              <w:spacing w:before="0" w:after="283"/>
              <w:jc w:val="left"/>
              <w:rPr/>
            </w:pPr>
            <w:r>
              <w:rPr/>
              <w:t>  </w:t>
            </w:r>
          </w:p>
        </w:tc>
        <w:tc>
          <w:tcPr>
            <w:tcW w:w="93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Erickson</w:t>
            </w:r>
          </w:p>
        </w:tc>
        <w:tc>
          <w:tcPr>
            <w:tcW w:w="120" w:type="dxa"/>
            <w:tcBorders/>
            <w:vAlign w:val="center"/>
          </w:tcPr>
          <w:p>
            <w:pPr>
              <w:pStyle w:val="TableContents"/>
              <w:bidi w:val="0"/>
              <w:spacing w:before="0" w:after="283"/>
              <w:jc w:val="left"/>
              <w:rPr/>
            </w:pPr>
            <w:r>
              <w:rPr/>
              <w:t>  </w:t>
            </w:r>
          </w:p>
        </w:tc>
        <w:tc>
          <w:tcPr>
            <w:tcW w:w="11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Finkelstein</w:t>
            </w:r>
          </w:p>
        </w:tc>
        <w:tc>
          <w:tcPr>
            <w:tcW w:w="120" w:type="dxa"/>
            <w:tcBorders/>
            <w:vAlign w:val="center"/>
          </w:tcPr>
          <w:p>
            <w:pPr>
              <w:pStyle w:val="TableContents"/>
              <w:bidi w:val="0"/>
              <w:spacing w:before="0" w:after="283"/>
              <w:jc w:val="left"/>
              <w:rPr/>
            </w:pPr>
            <w:r>
              <w:rPr/>
              <w:t>  </w:t>
            </w:r>
          </w:p>
        </w:tc>
        <w:tc>
          <w:tcPr>
            <w:tcW w:w="11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Kuperman</w:t>
              <w:br/>
              <w:t>Johnson</w:t>
            </w:r>
          </w:p>
        </w:tc>
        <w:tc>
          <w:tcPr>
            <w:tcW w:w="120" w:type="dxa"/>
            <w:tcBorders/>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Nwamu</w:t>
            </w:r>
          </w:p>
        </w:tc>
        <w:tc>
          <w:tcPr>
            <w:tcW w:w="120" w:type="dxa"/>
            <w:tcBorders/>
            <w:vAlign w:val="center"/>
          </w:tcPr>
          <w:p>
            <w:pPr>
              <w:pStyle w:val="TableContents"/>
              <w:bidi w:val="0"/>
              <w:spacing w:before="0" w:after="283"/>
              <w:jc w:val="left"/>
              <w:rPr/>
            </w:pPr>
            <w:r>
              <w:rPr/>
              <w:t>  </w:t>
            </w:r>
          </w:p>
        </w:tc>
        <w:tc>
          <w:tcPr>
            <w:tcW w:w="5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Stein</w:t>
            </w:r>
          </w:p>
        </w:tc>
        <w:tc>
          <w:tcPr>
            <w:tcW w:w="120" w:type="dxa"/>
            <w:tcBorders/>
            <w:vAlign w:val="center"/>
          </w:tcPr>
          <w:p>
            <w:pPr>
              <w:pStyle w:val="TableContents"/>
              <w:bidi w:val="0"/>
              <w:spacing w:before="0" w:after="283"/>
              <w:jc w:val="left"/>
              <w:rPr/>
            </w:pPr>
            <w:r>
              <w:rPr/>
              <w:t>  </w:t>
            </w:r>
          </w:p>
        </w:tc>
        <w:tc>
          <w:tcPr>
            <w:tcW w:w="63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Vitale</w:t>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Experiences and Skills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sz w:val="4"/>
                <w:szCs w:val="4"/>
              </w:rPr>
            </w:pPr>
            <w:r>
              <w:rPr>
                <w:sz w:val="4"/>
                <w:szCs w:val="4"/>
              </w:rPr>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Leadership Experience</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w:t>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w:t>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or Accounting Acumen</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Industry Experience</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w:t>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Operational Experience</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w:t>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Public Company Experience</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w:t>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w:t>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Race/Ethnicity</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sz w:val="4"/>
                <w:szCs w:val="4"/>
              </w:rPr>
            </w:pPr>
            <w:r>
              <w:rPr>
                <w:sz w:val="4"/>
                <w:szCs w:val="4"/>
              </w:rPr>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Black/African American</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Caucasian/White</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Gender</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sz w:val="4"/>
                <w:szCs w:val="4"/>
              </w:rPr>
            </w:pPr>
            <w:r>
              <w:rPr>
                <w:sz w:val="4"/>
                <w:szCs w:val="4"/>
              </w:rPr>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Female</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5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5" w:type="dxa"/>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755" w:type="dxa"/>
            <w:gridSpan w:val="5"/>
            <w:tcBorders/>
            <w:vAlign w:val="center"/>
          </w:tcPr>
          <w:p>
            <w:pPr>
              <w:pStyle w:val="TableContents"/>
              <w:bidi w:val="0"/>
              <w:spacing w:before="0" w:after="283"/>
              <w:jc w:val="left"/>
              <w:rPr>
                <w:sz w:val="4"/>
                <w:szCs w:val="4"/>
              </w:rPr>
            </w:pPr>
            <w:r>
              <w:rPr>
                <w:sz w:val="4"/>
                <w:szCs w:val="4"/>
              </w:rPr>
            </w:r>
          </w:p>
        </w:tc>
      </w:tr>
      <w:tr>
        <w:trPr/>
        <w:tc>
          <w:tcPr>
            <w:tcW w:w="2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Male</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56" w:type="dxa"/>
            <w:tcBorders/>
            <w:shd w:fill="CCEEFF" w:val="clear"/>
            <w:vAlign w:val="center"/>
          </w:tcPr>
          <w:p>
            <w:pPr>
              <w:pStyle w:val="TableContents"/>
              <w:bidi w:val="0"/>
              <w:spacing w:before="0" w:after="283"/>
              <w:jc w:val="left"/>
              <w:rPr>
                <w:sz w:val="4"/>
                <w:szCs w:val="4"/>
              </w:rPr>
            </w:pPr>
            <w:r>
              <w:rPr>
                <w:sz w:val="4"/>
                <w:szCs w:val="4"/>
              </w:rPr>
            </w:r>
          </w:p>
        </w:tc>
        <w:tc>
          <w:tcPr>
            <w:tcW w:w="5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Nominees for Election: Class I Directors and Class III Directors - Terms Expire in 2026 </w:t>
      </w:r>
    </w:p>
    <w:p>
      <w:pPr>
        <w:pStyle w:val="TextBody"/>
        <w:bidi w:val="0"/>
        <w:spacing w:before="120" w:after="0"/>
        <w:jc w:val="left"/>
        <w:rPr>
          <w:rFonts w:ascii="Times New Roman" w:hAnsi="Times New Roman"/>
          <w:sz w:val="20"/>
        </w:rPr>
      </w:pPr>
      <w:r>
        <w:rPr>
          <w:rFonts w:ascii="Times New Roman" w:hAnsi="Times New Roman"/>
          <w:b/>
          <w:sz w:val="20"/>
        </w:rPr>
        <w:t xml:space="preserve">ROBERT V. VITALE </w:t>
      </w:r>
      <w:r>
        <w:rPr>
          <w:rFonts w:ascii="Times New Roman" w:hAnsi="Times New Roman"/>
          <w:sz w:val="20"/>
        </w:rPr>
        <w:t xml:space="preserve">has served as our Chairman since November 2024 and, before that, served as our Executive Chairman from September 2019 to November 2024. Mr. Vitale has been the President and Chief Executive Officer of Post, a member of Post’s board of directors, since November 2014, chairman of Post’s board of directors since December 2025, and is a member of the board of directors of 8th Avenue Food &amp; Provisions, Inc., a majority-owned business of Post. Previously, Mr. Vitale served as Chief Financial Officer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Post from October 2011 until November 2014. Mr. Vitale has served on the board of directors of Energizer Holdings, Inc., a publicly traded manufacturer and distributor of primary batteries, portable 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has experience in significant leadership positions, an extensive understanding of finance and financial reporting processes, experience in leadership roles in industries relevant to our business, including consumer packaged goods, retail and consumer product manufacturing, experience in mergers and acquisitions, experience as an executive with direct operational responsibilities and experience as an executive and as a director of other publicly traded companies. Age 59. </w:t>
      </w:r>
    </w:p>
    <w:p>
      <w:pPr>
        <w:pStyle w:val="TextBody"/>
        <w:bidi w:val="0"/>
        <w:spacing w:before="240" w:after="0"/>
        <w:jc w:val="left"/>
        <w:rPr>
          <w:rFonts w:ascii="Times New Roman" w:hAnsi="Times New Roman"/>
          <w:sz w:val="20"/>
        </w:rPr>
      </w:pPr>
      <w:r>
        <w:rPr>
          <w:rFonts w:ascii="Times New Roman" w:hAnsi="Times New Roman"/>
          <w:b/>
          <w:sz w:val="20"/>
        </w:rPr>
        <w:t>DARCY HORN DAVENPORT</w:t>
      </w:r>
      <w:r>
        <w:rPr>
          <w:rFonts w:ascii="Times New Roman" w:hAnsi="Times New Roman"/>
          <w:sz w:val="20"/>
        </w:rPr>
        <w:t xml:space="preserve"> has served as our President and Chief Executive Officer since September 2019 and as a member of our Board of 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She has served as a member of the board of directors of Consumer Brands Association, the nation’s preeminent trade group representing the consumer-packaged goods industry, since 2024.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52. </w:t>
      </w:r>
    </w:p>
    <w:p>
      <w:pPr>
        <w:pStyle w:val="TextBody"/>
        <w:bidi w:val="0"/>
        <w:spacing w:before="240" w:after="0"/>
        <w:jc w:val="left"/>
        <w:rPr>
          <w:rFonts w:ascii="Times New Roman" w:hAnsi="Times New Roman"/>
          <w:sz w:val="20"/>
        </w:rPr>
      </w:pPr>
      <w:r>
        <w:rPr>
          <w:rFonts w:ascii="Times New Roman" w:hAnsi="Times New Roman"/>
          <w:b/>
          <w:sz w:val="20"/>
        </w:rPr>
        <w:t>DAVID I. FINKELSTEIN</w:t>
      </w:r>
      <w:r>
        <w:rPr>
          <w:rFonts w:ascii="Times New Roman" w:hAnsi="Times New Roman"/>
          <w:sz w:val="20"/>
        </w:rPr>
        <w:t xml:space="preserve"> was appointed to our Board of Directors on November 12, 2025 effective as of January 1, 2026. Mr. Finkelstein worked at Citigroup, Inc., from February 2018 to March 2025, where most recently he was Head of Consumer and Retail M&amp;A and Head of Sports Advisory. Prior to joining Citigroup, Inc., Mr. Finkelstein served in the Mergers and Acquisitions Group at Bank of America from April 2005 to January 2018, and as Managing Director beginning in 2009. Mr. Finkelstein also served in the Mergers and Acquisitions Group at Citigroup, Inc. from July 2000 to March 2005. Mr. Finkelstein has experience in significant leadership positions, extensive experience in finance and financial reporting processes, and extensive experience in mergers and acquisitions and capital markets transactions, including in the consumer-packaged goods, retail and consumer product manufacturing industries. Age 50. </w:t>
      </w:r>
    </w:p>
    <w:p>
      <w:pPr>
        <w:pStyle w:val="TextBody"/>
        <w:bidi w:val="0"/>
        <w:spacing w:before="240" w:after="0"/>
        <w:jc w:val="left"/>
        <w:rPr>
          <w:rFonts w:ascii="Times New Roman" w:hAnsi="Times New Roman"/>
          <w:sz w:val="20"/>
        </w:rPr>
      </w:pPr>
      <w:r>
        <w:rPr>
          <w:rFonts w:ascii="Times New Roman" w:hAnsi="Times New Roman"/>
          <w:b/>
          <w:sz w:val="20"/>
        </w:rPr>
        <w:t xml:space="preserve">CHONDA J. NWAMU </w:t>
      </w:r>
      <w:r>
        <w:rPr>
          <w:rFonts w:ascii="Times New Roman" w:hAnsi="Times New Roman"/>
          <w:sz w:val="20"/>
        </w:rPr>
        <w:t xml:space="preserve">has served as a member of our Board of Directors since May 2021. Ms. Nwamu is Executive Vice President and General Counsel of Edison International, the parent company of Southern California Edison, one of the nation’s largest electric utilities, and several competitive businesses engaged in emerging sectors of the electric industry, since April 2025. Prior to joining Edison International, Ms. Nwamu was Executive Vice President, General Counsel and Secretary for Ameren Corporation, a public utility holding company, since August 2019 to March 2025, and was a director of its subsidiaries, Ameren Services, Ameren Missouri and Ameren Transmission Company of Illinois. She was Senior Vice President, General Counsel and Secretary from August 2019 through September 2022.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54. </w:t>
      </w:r>
    </w:p>
    <w:p>
      <w:pPr>
        <w:pStyle w:val="TextBody"/>
        <w:bidi w:val="0"/>
        <w:spacing w:before="240" w:after="0"/>
        <w:jc w:val="left"/>
        <w:rPr>
          <w:rFonts w:ascii="Times New Roman" w:hAnsi="Times New Roman"/>
          <w:sz w:val="20"/>
        </w:rPr>
      </w:pPr>
      <w:r>
        <w:rPr>
          <w:rFonts w:ascii="Times New Roman" w:hAnsi="Times New Roman"/>
          <w:b/>
          <w:sz w:val="20"/>
        </w:rPr>
        <w:t xml:space="preserve">ELLIOT H. STEIN, JR. </w:t>
      </w:r>
      <w:r>
        <w:rPr>
          <w:rFonts w:ascii="Times New Roman" w:hAnsi="Times New Roman"/>
          <w:sz w:val="20"/>
        </w:rPr>
        <w:t xml:space="preserve">has served as a member of our Board of Directors since October 2019. Mr. Stein has been chairman of Acertas, LLC and Senturion Forecasting, LLC, two privately owned data analytics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2013. In addition, Mr. Stein has been a director of Midcap Financial Investment Corporation, a publicly traded closed-end, externally managed, non-diversified management investment company, since 2004, and a director of MidCap Apollo Institutional Private Lending, since 2023. Mr. Stein is a member of the Council on Foreign Relations and a trustee of the New School University. He also previously served as a director of various private companies in the media, manufacturing, retail and finance industries. Mr. Stein has experience in significant leadership positions, an extensive understanding of financial and financial reporting processes and experience as a director of other publicly traded companies. Age 76.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 Terms Expire in 2027 </w:t>
      </w:r>
    </w:p>
    <w:p>
      <w:pPr>
        <w:pStyle w:val="TextBody"/>
        <w:bidi w:val="0"/>
        <w:spacing w:before="120" w:after="0"/>
        <w:jc w:val="left"/>
        <w:rPr>
          <w:rFonts w:ascii="Times New Roman" w:hAnsi="Times New Roman"/>
          <w:sz w:val="20"/>
        </w:rPr>
      </w:pPr>
      <w:r>
        <w:rPr>
          <w:rFonts w:ascii="Times New Roman" w:hAnsi="Times New Roman"/>
          <w:b/>
          <w:sz w:val="20"/>
        </w:rPr>
        <w:t>SHAWN W. CONWAY</w:t>
      </w:r>
      <w:r>
        <w:rPr>
          <w:rFonts w:ascii="Times New Roman" w:hAnsi="Times New Roman"/>
          <w:sz w:val="20"/>
        </w:rPr>
        <w:t xml:space="preserve"> has served as a member of our Board of Directors since October 2023. Mr. Conway is Chief Executive Officer for Far Niente Wine Estates, an iconic Napa Valley winery devoted to the highest forms of Chardonnay and Cabernet Sauvignon for over 140 years, since September 2025. Prior to joining Far Niente Wine Estates, Mr. Conway was Chief Executive Officer for Ste. Michelle Wine Estates, a privately owned company and the largest winery in the Pacific Northwest, since March 2023 to September 2025. Prior thereto, Mr. Conway served as Chief Executive Officer of Peet’s Coffee, Inc., an original craft coffee and tea company, from January 2020 to April 2022. Mr. Conway also served as Chief Operating Officer of Peet’s Coffee, Inc. from November 2012 to December 2019 and Chief Supply Chain Officer of Peet’s Coffee, Inc. from January 2010 to November 2012. Prior to joining Pete’s Coffee, Inc., Mr. Conway served as Senior Vice President of Operations at SKYY Spirits LLC from April 2005 to January 2010 and Vice President – Finance and Technology at SKYY Spirits, LLC from 2002 to 2005. Since August 2022, Mr. Conway has served on the Board of Directors of SAMBAZON, an acronym for Sustainable Management of the Brazilian Amazon, a leading supplier of certified fair trade and organic Acai. Mr. Conway previously served as Chairman of the Board of Directors of Peet’s China Inc. from 2017 to 2022; Intelligentsia Coffee Inc. from 2015 to 2022 (as Chairman from 2020 to 2022); Stumptown Coffee Inc. from 2015 to 2022 (as Chairman from 2020 to 2022); and Mighty Leaf Tea Inc. as Chairman from 2014 to 2017. Mr. Conway has experience in significant leadership positions, operations, supply chain and finance in high- growth, premium-branded specialty food and beverage, and consumer packaged goods companies. Age 60 </w:t>
      </w:r>
    </w:p>
    <w:p>
      <w:pPr>
        <w:pStyle w:val="TextBody"/>
        <w:bidi w:val="0"/>
        <w:spacing w:before="240" w:after="0"/>
        <w:jc w:val="left"/>
        <w:rPr>
          <w:rFonts w:ascii="Times New Roman" w:hAnsi="Times New Roman"/>
          <w:sz w:val="20"/>
        </w:rPr>
      </w:pPr>
      <w:r>
        <w:rPr>
          <w:rFonts w:ascii="Times New Roman" w:hAnsi="Times New Roman"/>
          <w:b/>
          <w:sz w:val="20"/>
        </w:rPr>
        <w:t>THOMAS P. ERICKSON</w:t>
      </w:r>
      <w:r>
        <w:rPr>
          <w:rFonts w:ascii="Times New Roman" w:hAnsi="Times New Roman"/>
          <w:sz w:val="20"/>
        </w:rPr>
        <w:t xml:space="preserve"> has served as a member of our Board of Directors since October 2019. Mr. Erickson has been the managing member of 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50 years of public accounting experience and has previously been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70. </w:t>
      </w:r>
    </w:p>
    <w:p>
      <w:pPr>
        <w:pStyle w:val="TextBody"/>
        <w:bidi w:val="0"/>
        <w:spacing w:before="240" w:after="0"/>
        <w:jc w:val="left"/>
        <w:rPr>
          <w:rFonts w:ascii="Times New Roman" w:hAnsi="Times New Roman"/>
          <w:sz w:val="20"/>
        </w:rPr>
      </w:pPr>
      <w:r>
        <w:rPr>
          <w:rFonts w:ascii="Times New Roman" w:hAnsi="Times New Roman"/>
          <w:b/>
          <w:sz w:val="20"/>
        </w:rPr>
        <w:t xml:space="preserve">JENNIFER KUPERMAN JOHNSON </w:t>
      </w:r>
      <w:r>
        <w:rPr>
          <w:rFonts w:ascii="Times New Roman" w:hAnsi="Times New Roman"/>
          <w:sz w:val="20"/>
        </w:rPr>
        <w:t xml:space="preserve">has served as a member of our Board of Directors since October 2019. Ms. Kuperman Johnson serves as Chief Corporate Affairs Officer at Chime Financial, Inc. since 2024 and, prior thereto, she served as the Senior Vice President of Corporate Affairs at Chime since September 2022. Prior to Chime, Ms. Kuperman Johnson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Johnson was senior vice president of corporate brand and reputation at Visa Inc., a global payments technology company, from April 2013 to August 2014 and chief of staff, office of the chairman and chief executive officer at Visa Inc. from August 2010 to April 2013. Ms. Kuperman Johnson also served as head of global corporate communications and citizenship at Visa Inc. from August 2008 to July 2010 and head of employee and client communication at Visa Inc. from August 2004 to June 2008. Ms. Kuperman Johnson has served on the board of directors of Post Holdings, Inc. since May 2021 and on the board of Post Holdings Partnering Corporation, a publicly traded affiliate of Post that was a SPAC formed for the purpose of effecting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partnering transaction with one or more businesses, from May 2021 to June 2023. She also served on the board of directors to Kyriba Corp., a privately held cloud treasury and finance solutions company, from August 2021 until January 2025. Ms. Kuperman Johnson has experience in significant leadership positions and extensive international experience. Age 52.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unanimously recommends a vote “FOR” each of Messrs. Vitale, Finkelstein and Stein and Mses. Davenport and Nwamu for election to the Board of Directors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30979_24"/>
      <w:bookmarkEnd w:id="21"/>
      <w:r>
        <w:rPr>
          <w:rFonts w:ascii="Times New Roman" w:hAnsi="Times New Roman"/>
          <w:b/>
          <w:sz w:val="20"/>
        </w:rPr>
        <w:t xml:space="preserve">RATIFICATION OF APPOINTMENT OF INDEPENDENT </w:t>
      </w:r>
    </w:p>
    <w:p>
      <w:pPr>
        <w:pStyle w:val="TextBody"/>
        <w:bidi w:val="0"/>
        <w:spacing w:before="240" w:after="0"/>
        <w:jc w:val="center"/>
        <w:rPr>
          <w:rFonts w:ascii="Times New Roman" w:hAnsi="Times New Roman"/>
          <w:b/>
          <w:sz w:val="20"/>
        </w:rPr>
      </w:pPr>
      <w:r>
        <w:rPr>
          <w:rFonts w:ascii="Times New Roman" w:hAnsi="Times New Roman"/>
          <w:b/>
          <w:sz w:val="20"/>
        </w:rPr>
        <w:t xml:space="preserve">REGISTERED PUBLIC ACCOUNTING FIRM </w:t>
      </w:r>
    </w:p>
    <w:p>
      <w:pPr>
        <w:pStyle w:val="TextBody"/>
        <w:bidi w:val="0"/>
        <w:spacing w:before="240" w:after="0"/>
        <w:jc w:val="center"/>
        <w:rPr>
          <w:rFonts w:ascii="Times New Roman" w:hAnsi="Times New Roman"/>
          <w:b/>
          <w:sz w:val="20"/>
        </w:rPr>
      </w:pPr>
      <w:r>
        <w:rPr>
          <w:rFonts w:ascii="Times New Roman" w:hAnsi="Times New Roman"/>
          <w:b/>
          <w:sz w:val="20"/>
        </w:rPr>
        <w:t xml:space="preserve">(PROXY ITEM NO. 2)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selected PricewaterhouseCoopers LLP as our independent registered public accounting firm for the fiscal year ending September 30, 2026,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an estimate of the fees that we expect to be billed for audit services during the fiscal year ended September 30, 2025 and for other services during that fiscal year, and the fees billed for audit services during the fiscal year ended September 30, 2024 and for other services during that fiscal year. </w:t>
      </w:r>
    </w:p>
    <w:p>
      <w:pPr>
        <w:pStyle w:val="TextBody"/>
        <w:bidi w:val="0"/>
        <w:spacing w:before="0" w:after="0"/>
        <w:jc w:val="left"/>
        <w:rPr/>
      </w:pPr>
      <w:r>
        <w:rPr/>
        <w:t> </w:t>
      </w:r>
    </w:p>
    <w:tbl>
      <w:tblPr>
        <w:tblW w:w="4875" w:type="dxa"/>
        <w:jc w:val="left"/>
        <w:tblInd w:w="0" w:type="dxa"/>
        <w:tblLayout w:type="fixed"/>
        <w:tblCellMar>
          <w:top w:w="0" w:type="dxa"/>
          <w:left w:w="0" w:type="dxa"/>
          <w:bottom w:w="0" w:type="dxa"/>
          <w:right w:w="0" w:type="dxa"/>
        </w:tblCellMar>
      </w:tblPr>
      <w:tblGrid>
        <w:gridCol w:w="1700"/>
        <w:gridCol w:w="120"/>
        <w:gridCol w:w="1460"/>
        <w:gridCol w:w="120"/>
        <w:gridCol w:w="14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12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$1,195,000</w:t>
            </w:r>
          </w:p>
        </w:tc>
        <w:tc>
          <w:tcPr>
            <w:tcW w:w="12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$1,158,505</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$25,000</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$0</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$22,500</w:t>
            </w:r>
          </w:p>
        </w:tc>
        <w:tc>
          <w:tcPr>
            <w:tcW w:w="12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$15,000</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All other fees(4)</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$2,000</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$2,000</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relate primarily to the audit and reviews of our financial statements, comfort letter consents and reviews of SEC registration statements.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are for assurance and related services performed by PricewaterhouseCoopers LLP that are reasonably related to the performance of the audit or review of our financial statements.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 include consulting and compliance services and preparation of tax returns in jurisdictions outside of the United States.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include any fees for services rendered by PricewaterhouseCoopers LLP which are not included in any of the above categories. The other fees consist of licensing fees paid for accounting research software.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Our audit was staffed primarily by full-time, permanent employees of PricewaterhouseCoopers LLP.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unanimously recommends a vote “FOR” ratification of the appointment of PricewaterhouseCoopers LLP as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30979_25"/>
      <w:bookmarkEnd w:id="22"/>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audited financial statements for the fiscal year ended September 30, 2025,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review and discussions referred to above, the Audit Committee recommended to the Board of Directors that the audited consolidated financial statements for the fiscal year ended September 30, 2025 be included in our Annual Report on Form 10-K filed with the SEC for that year. </w:t>
      </w:r>
    </w:p>
    <w:p>
      <w:pPr>
        <w:pStyle w:val="TextBody"/>
        <w:bidi w:val="0"/>
        <w:spacing w:before="240" w:after="0"/>
        <w:jc w:val="left"/>
        <w:rPr>
          <w:rFonts w:ascii="Times New Roman" w:hAnsi="Times New Roman"/>
          <w:sz w:val="20"/>
        </w:rPr>
      </w:pPr>
      <w:r>
        <w:rPr>
          <w:rFonts w:ascii="Times New Roman" w:hAnsi="Times New Roman"/>
          <w:sz w:val="20"/>
        </w:rPr>
        <w:t xml:space="preserve">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Thomas P. Erickson, </w:t>
      </w:r>
      <w:r>
        <w:rPr>
          <w:rFonts w:ascii="Times New Roman" w:hAnsi="Times New Roman"/>
          <w:i/>
          <w:sz w:val="20"/>
        </w:rPr>
        <w:t>Chairman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Chonda J. Nwamu </w:t>
      </w:r>
    </w:p>
    <w:p>
      <w:pPr>
        <w:pStyle w:val="TextBody"/>
        <w:bidi w:val="0"/>
        <w:spacing w:before="240" w:after="0"/>
        <w:jc w:val="left"/>
        <w:rPr>
          <w:rFonts w:ascii="Times New Roman" w:hAnsi="Times New Roman"/>
          <w:sz w:val="20"/>
        </w:rPr>
      </w:pPr>
      <w:r>
        <w:rPr>
          <w:rFonts w:ascii="Times New Roman" w:hAnsi="Times New Roman"/>
          <w:sz w:val="20"/>
        </w:rPr>
        <w:t xml:space="preserve">Elliot H. Stein, Jr.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30979_26"/>
      <w:bookmarkEnd w:id="23"/>
      <w:r>
        <w:rPr>
          <w:rFonts w:ascii="Times New Roman" w:hAnsi="Times New Roman"/>
          <w:b/>
          <w:sz w:val="20"/>
        </w:rPr>
        <w:t xml:space="preserve">COMPENSATION DISCUSSION &amp; ANALYSIS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Compensation Discussion and Analysis (the “CD&amp;A”) describes our fiscal year 2025 executive compensation structure. This CD&amp;A is intended to be read in conjunction with the tables beginning on page 44, which provide detailed compensation information for our following named executive officers (the “named executive officers” or the “NEOs”):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1865"/>
        <w:gridCol w:w="120"/>
        <w:gridCol w:w="582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2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8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594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5825" w:type="dxa"/>
            <w:tcBorders/>
            <w:shd w:fill="CCEEFF" w:val="clear"/>
            <w:vAlign w:val="center"/>
          </w:tcPr>
          <w:p>
            <w:pPr>
              <w:pStyle w:val="TableContents"/>
              <w:bidi w:val="0"/>
              <w:spacing w:before="0" w:after="283"/>
              <w:jc w:val="left"/>
              <w:rPr/>
            </w:pPr>
            <w:r>
              <w:rPr/>
              <w:t>President and Chief Executive Officer</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594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Chief Financial Officer</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594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5825" w:type="dxa"/>
            <w:tcBorders/>
            <w:shd w:fill="CCEEFF" w:val="clear"/>
            <w:vAlign w:val="center"/>
          </w:tcPr>
          <w:p>
            <w:pPr>
              <w:pStyle w:val="TableContents"/>
              <w:bidi w:val="0"/>
              <w:spacing w:before="0" w:after="283"/>
              <w:jc w:val="left"/>
              <w:rPr/>
            </w:pPr>
            <w:r>
              <w:rPr/>
              <w:t>Chief Growth Officer</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594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Chief Legal Officer, Chief Compliance Officer and Secretary</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594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5825" w:type="dxa"/>
            <w:tcBorders/>
            <w:shd w:fill="CCEEFF" w:val="clear"/>
            <w:vAlign w:val="center"/>
          </w:tcPr>
          <w:p>
            <w:pPr>
              <w:pStyle w:val="TableContents"/>
              <w:bidi w:val="0"/>
              <w:spacing w:before="0" w:after="283"/>
              <w:jc w:val="left"/>
              <w:rPr/>
            </w:pPr>
            <w:r>
              <w:rPr/>
              <w:t>Chief Supply Chain Officer — Premier Nutrition Company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Total Compensation Opportunity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8280" cy="1200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88280" cy="12001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Summary </w:t>
      </w:r>
    </w:p>
    <w:p>
      <w:pPr>
        <w:pStyle w:val="TextBody"/>
        <w:bidi w:val="0"/>
        <w:spacing w:before="120" w:after="0"/>
        <w:jc w:val="left"/>
        <w:rPr>
          <w:rFonts w:ascii="Times New Roman" w:hAnsi="Times New Roman"/>
          <w:b/>
          <w:i/>
          <w:sz w:val="20"/>
        </w:rPr>
      </w:pPr>
      <w:r>
        <w:rPr>
          <w:rFonts w:ascii="Times New Roman" w:hAnsi="Times New Roman"/>
          <w:b/>
          <w:i/>
          <w:sz w:val="20"/>
        </w:rPr>
        <w:t xml:space="preserve">Performance and Company Highlights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We are a stockholder value-driven organization and our compensation philosophy is designed to be aligned with stockholder interests. Management’s objective is to maximize total stockholder return, and compensation decisions are guided by the principle of creating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We view the Company’s performance in two primary ways: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and financial performance; and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Return to stockholders over time, both on an absolute basis and relative to similar companies.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hAnsi="Times New Roman"/>
          <w:i/>
          <w:sz w:val="20"/>
        </w:rPr>
        <w:t>Premier Protein</w:t>
      </w:r>
      <w:r>
        <w:rPr>
          <w:rFonts w:ascii="Times New Roman" w:hAnsi="Times New Roman"/>
          <w:sz w:val="20"/>
        </w:rPr>
        <w:t xml:space="preserve"> and </w:t>
      </w:r>
      <w:r>
        <w:rPr>
          <w:rFonts w:ascii="Times New Roman" w:hAnsi="Times New Roman"/>
          <w:i/>
          <w:sz w:val="20"/>
        </w:rPr>
        <w:t>Dymatize</w:t>
      </w:r>
      <w:r>
        <w:rPr>
          <w:rFonts w:ascii="Times New Roman" w:hAnsi="Times New Roman"/>
          <w:sz w:val="20"/>
        </w:rPr>
        <w:t xml:space="preserve">, target a broad range of consumers and compete in all major product forms, including ready-to-drink (“RTD”) protein shakes and powders.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we achieved a number of strategic and financial accomplishments that we believe will benefit the Company and our stockholders alike in the coming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grew net sales to $2.3 billion and Adjusted EBITDA to $482 million, with respective growth over 2024 of 16% and 9%. Since our 2019 initial public offering, we have delivered an 18% revenue CAGR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a 16% Adjusted EBITDA CAGR, outperforming the long-term expectations we shared at the time of the initial public offering. For a reconciliation of Adjusted EBITDA to the most directly comparable GAAP measure, see “Explanation and Reconciliation of Non-GAAP Measures” beginning on page 9 of the Company’s earnings release dated November 18, 2025 and furnished as Exhibit 99.1 to the Company’s Current Report on Form 8-K as furnished to the SEC on November 18,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Premier Protein </w:t>
            </w:r>
            <w:r>
              <w:rPr>
                <w:rFonts w:ascii="Times New Roman" w:hAnsi="Times New Roman"/>
                <w:sz w:val="20"/>
              </w:rPr>
              <w:t xml:space="preserve">net sales increased 17%, reaching new highs across key metrics, including market share, household penetration, distribution and buy 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Dymatize</w:t>
            </w:r>
            <w:r>
              <w:rPr>
                <w:rFonts w:ascii="Times New Roman" w:hAnsi="Times New Roman"/>
                <w:sz w:val="20"/>
              </w:rPr>
              <w:t xml:space="preserve">, our super-premium sports nutrition brand, had net sales growth of 13%, lifted by the strength of its international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opportunistically repurchased approximately 9 million shares of our common stock outstanding, which is approximately 7% of our shares outstanding, reducing our shares outstanding to 121 million.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Team Drives Performance and Creates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We are a stockholder value-driven organization and our compensation philosophy is designed to be aligned with stockholder interests. Management’s objective is to maximize total stockholder return, and compensation decisions are guided by the principle of creating stockholder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120"/>
        <w:gridCol w:w="6039"/>
        <w:gridCol w:w="120"/>
        <w:gridCol w:w="200"/>
        <w:gridCol w:w="120"/>
        <w:gridCol w:w="3361"/>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What We Do (Best Practice)</w:t>
            </w:r>
          </w:p>
        </w:tc>
        <w:tc>
          <w:tcPr>
            <w:tcW w:w="120" w:type="dxa"/>
            <w:tcBorders/>
            <w:vAlign w:val="center"/>
          </w:tcPr>
          <w:p>
            <w:pPr>
              <w:pStyle w:val="TableContents"/>
              <w:bidi w:val="0"/>
              <w:spacing w:before="0" w:after="283"/>
              <w:jc w:val="left"/>
              <w:rPr/>
            </w:pPr>
            <w:r>
              <w:rPr/>
              <w:t>  </w:t>
            </w:r>
          </w:p>
        </w:tc>
        <w:tc>
          <w:tcPr>
            <w:tcW w:w="368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What We Don’t Allow</w:t>
            </w:r>
          </w:p>
        </w:tc>
      </w:tr>
      <w:tr>
        <w:trPr/>
        <w:tc>
          <w:tcPr>
            <w:tcW w:w="245" w:type="dxa"/>
            <w:tcBorders/>
            <w:shd w:fill="ABD8EA" w:val="clear"/>
            <w:vAlign w:val="center"/>
          </w:tcPr>
          <w:p>
            <w:pPr>
              <w:pStyle w:val="TableContents"/>
              <w:bidi w:val="0"/>
              <w:spacing w:before="0" w:after="283"/>
              <w:jc w:val="left"/>
              <w:rPr>
                <w:sz w:val="4"/>
                <w:szCs w:val="4"/>
              </w:rPr>
            </w:pPr>
            <w:r>
              <w:rPr>
                <w:sz w:val="4"/>
                <w:szCs w:val="4"/>
              </w:rPr>
            </w:r>
          </w:p>
        </w:tc>
        <w:tc>
          <w:tcPr>
            <w:tcW w:w="6159"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348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45" w:type="dxa"/>
            <w:tcBorders/>
            <w:shd w:fill="ABD8EA" w:val="clear"/>
            <w:vAlign w:val="center"/>
          </w:tcPr>
          <w:p>
            <w:pPr>
              <w:pStyle w:val="TableContents"/>
              <w:bidi w:val="0"/>
              <w:spacing w:before="0" w:after="283"/>
              <w:jc w:val="left"/>
              <w:rPr/>
            </w:pPr>
            <w:r>
              <w:rPr/>
              <w:t>✓</w:t>
            </w:r>
          </w:p>
        </w:tc>
        <w:tc>
          <w:tcPr>
            <w:tcW w:w="120" w:type="dxa"/>
            <w:tcBorders/>
            <w:shd w:fill="ABD8EA" w:val="clear"/>
            <w:vAlign w:val="center"/>
          </w:tcPr>
          <w:p>
            <w:pPr>
              <w:pStyle w:val="TableContents"/>
              <w:bidi w:val="0"/>
              <w:spacing w:before="0" w:after="283"/>
              <w:jc w:val="left"/>
              <w:rPr/>
            </w:pPr>
            <w:r>
              <w:rPr/>
              <w:t>  </w:t>
            </w:r>
          </w:p>
        </w:tc>
        <w:tc>
          <w:tcPr>
            <w:tcW w:w="6039" w:type="dxa"/>
            <w:tcBorders/>
            <w:shd w:fill="ABD8EA" w:val="clear"/>
            <w:vAlign w:val="center"/>
          </w:tcPr>
          <w:p>
            <w:pPr>
              <w:pStyle w:val="TableContents"/>
              <w:bidi w:val="0"/>
              <w:spacing w:before="0" w:after="283"/>
              <w:jc w:val="left"/>
              <w:rPr/>
            </w:pPr>
            <w:r>
              <w:rPr/>
              <w:t>Enforce strict insider trading policies</w:t>
            </w:r>
          </w:p>
        </w:tc>
        <w:tc>
          <w:tcPr>
            <w:tcW w:w="120" w:type="dxa"/>
            <w:tcBorders/>
            <w:shd w:fill="ABD8EA" w:val="clear"/>
            <w:vAlign w:val="center"/>
          </w:tcPr>
          <w:p>
            <w:pPr>
              <w:pStyle w:val="TableContents"/>
              <w:bidi w:val="0"/>
              <w:spacing w:before="0" w:after="283"/>
              <w:jc w:val="left"/>
              <w:rPr/>
            </w:pPr>
            <w:r>
              <w:rPr/>
              <w:t>  </w:t>
            </w:r>
          </w:p>
        </w:tc>
        <w:tc>
          <w:tcPr>
            <w:tcW w:w="200" w:type="dxa"/>
            <w:tcBorders/>
            <w:shd w:fill="ABD8EA" w:val="clear"/>
            <w:vAlign w:val="center"/>
          </w:tcPr>
          <w:p>
            <w:pPr>
              <w:pStyle w:val="TableContents"/>
              <w:bidi w:val="0"/>
              <w:spacing w:before="0" w:after="283"/>
              <w:jc w:val="left"/>
              <w:rPr/>
            </w:pPr>
            <w:r>
              <w:rPr/>
              <w:t>X</w:t>
            </w:r>
          </w:p>
        </w:tc>
        <w:tc>
          <w:tcPr>
            <w:tcW w:w="120" w:type="dxa"/>
            <w:tcBorders/>
            <w:shd w:fill="ABD8EA" w:val="clear"/>
            <w:vAlign w:val="center"/>
          </w:tcPr>
          <w:p>
            <w:pPr>
              <w:pStyle w:val="TableContents"/>
              <w:bidi w:val="0"/>
              <w:spacing w:before="0" w:after="283"/>
              <w:jc w:val="left"/>
              <w:rPr/>
            </w:pPr>
            <w:r>
              <w:rPr/>
              <w:t>  </w:t>
            </w:r>
          </w:p>
        </w:tc>
        <w:tc>
          <w:tcPr>
            <w:tcW w:w="3361" w:type="dxa"/>
            <w:tcBorders/>
            <w:shd w:fill="ABD8EA" w:val="clear"/>
            <w:vAlign w:val="center"/>
          </w:tcPr>
          <w:p>
            <w:pPr>
              <w:pStyle w:val="TableContents"/>
              <w:bidi w:val="0"/>
              <w:spacing w:before="0" w:after="283"/>
              <w:jc w:val="left"/>
              <w:rPr/>
            </w:pPr>
            <w:r>
              <w:rPr/>
              <w:t>No hedging or pledging of Company stock by executives or directors, including margin accounts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159"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48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39" w:type="dxa"/>
            <w:tcBorders/>
            <w:vAlign w:val="center"/>
          </w:tcPr>
          <w:p>
            <w:pPr>
              <w:pStyle w:val="TableContents"/>
              <w:bidi w:val="0"/>
              <w:spacing w:before="0" w:after="283"/>
              <w:jc w:val="left"/>
              <w:rPr/>
            </w:pPr>
            <w:r>
              <w:rPr/>
              <w:t>Maintain a clawback policy for incentive-based compensation</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361" w:type="dxa"/>
            <w:tcBorders/>
            <w:vAlign w:val="center"/>
          </w:tcPr>
          <w:p>
            <w:pPr>
              <w:pStyle w:val="TableContents"/>
              <w:bidi w:val="0"/>
              <w:spacing w:before="0" w:after="283"/>
              <w:jc w:val="left"/>
              <w:rPr/>
            </w:pPr>
            <w:r>
              <w:rPr/>
              <w:t>No single-trigger or modified single-trigger change-in-control arrangements</w:t>
            </w:r>
          </w:p>
        </w:tc>
      </w:tr>
      <w:tr>
        <w:trPr/>
        <w:tc>
          <w:tcPr>
            <w:tcW w:w="245" w:type="dxa"/>
            <w:tcBorders/>
            <w:shd w:fill="ABD8EA" w:val="clear"/>
            <w:vAlign w:val="center"/>
          </w:tcPr>
          <w:p>
            <w:pPr>
              <w:pStyle w:val="TableContents"/>
              <w:bidi w:val="0"/>
              <w:spacing w:before="0" w:after="283"/>
              <w:jc w:val="left"/>
              <w:rPr>
                <w:sz w:val="4"/>
                <w:szCs w:val="4"/>
              </w:rPr>
            </w:pPr>
            <w:r>
              <w:rPr>
                <w:sz w:val="4"/>
                <w:szCs w:val="4"/>
              </w:rPr>
            </w:r>
          </w:p>
        </w:tc>
        <w:tc>
          <w:tcPr>
            <w:tcW w:w="6159"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348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45" w:type="dxa"/>
            <w:tcBorders/>
            <w:shd w:fill="ABD8EA" w:val="clear"/>
            <w:vAlign w:val="center"/>
          </w:tcPr>
          <w:p>
            <w:pPr>
              <w:pStyle w:val="TableContents"/>
              <w:bidi w:val="0"/>
              <w:spacing w:before="0" w:after="283"/>
              <w:jc w:val="left"/>
              <w:rPr/>
            </w:pPr>
            <w:r>
              <w:rPr/>
              <w:t>✓</w:t>
            </w:r>
          </w:p>
        </w:tc>
        <w:tc>
          <w:tcPr>
            <w:tcW w:w="120" w:type="dxa"/>
            <w:tcBorders/>
            <w:shd w:fill="ABD8EA" w:val="clear"/>
            <w:vAlign w:val="center"/>
          </w:tcPr>
          <w:p>
            <w:pPr>
              <w:pStyle w:val="TableContents"/>
              <w:bidi w:val="0"/>
              <w:spacing w:before="0" w:after="283"/>
              <w:jc w:val="left"/>
              <w:rPr/>
            </w:pPr>
            <w:r>
              <w:rPr/>
              <w:t>  </w:t>
            </w:r>
          </w:p>
        </w:tc>
        <w:tc>
          <w:tcPr>
            <w:tcW w:w="6039" w:type="dxa"/>
            <w:tcBorders/>
            <w:shd w:fill="ABD8EA" w:val="clear"/>
            <w:vAlign w:val="center"/>
          </w:tcPr>
          <w:p>
            <w:pPr>
              <w:pStyle w:val="TableContents"/>
              <w:bidi w:val="0"/>
              <w:spacing w:before="0" w:after="283"/>
              <w:jc w:val="left"/>
              <w:rPr/>
            </w:pPr>
            <w:r>
              <w:rPr/>
              <w:t>Set meaningful stock ownership guidelines for executives and directors</w:t>
            </w:r>
          </w:p>
        </w:tc>
        <w:tc>
          <w:tcPr>
            <w:tcW w:w="120" w:type="dxa"/>
            <w:tcBorders/>
            <w:shd w:fill="ABD8EA" w:val="clear"/>
            <w:vAlign w:val="center"/>
          </w:tcPr>
          <w:p>
            <w:pPr>
              <w:pStyle w:val="TableContents"/>
              <w:bidi w:val="0"/>
              <w:spacing w:before="0" w:after="283"/>
              <w:jc w:val="left"/>
              <w:rPr/>
            </w:pPr>
            <w:r>
              <w:rPr/>
              <w:t>  </w:t>
            </w:r>
          </w:p>
        </w:tc>
        <w:tc>
          <w:tcPr>
            <w:tcW w:w="200" w:type="dxa"/>
            <w:tcBorders/>
            <w:shd w:fill="ABD8EA" w:val="clear"/>
            <w:vAlign w:val="center"/>
          </w:tcPr>
          <w:p>
            <w:pPr>
              <w:pStyle w:val="TableContents"/>
              <w:bidi w:val="0"/>
              <w:spacing w:before="0" w:after="283"/>
              <w:jc w:val="left"/>
              <w:rPr/>
            </w:pPr>
            <w:r>
              <w:rPr/>
              <w:t>X</w:t>
            </w:r>
          </w:p>
        </w:tc>
        <w:tc>
          <w:tcPr>
            <w:tcW w:w="120" w:type="dxa"/>
            <w:tcBorders/>
            <w:shd w:fill="ABD8EA" w:val="clear"/>
            <w:vAlign w:val="center"/>
          </w:tcPr>
          <w:p>
            <w:pPr>
              <w:pStyle w:val="TableContents"/>
              <w:bidi w:val="0"/>
              <w:spacing w:before="0" w:after="283"/>
              <w:jc w:val="left"/>
              <w:rPr/>
            </w:pPr>
            <w:r>
              <w:rPr/>
              <w:t>  </w:t>
            </w:r>
          </w:p>
        </w:tc>
        <w:tc>
          <w:tcPr>
            <w:tcW w:w="3361" w:type="dxa"/>
            <w:tcBorders/>
            <w:shd w:fill="ABD8EA" w:val="clear"/>
            <w:vAlign w:val="center"/>
          </w:tcPr>
          <w:p>
            <w:pPr>
              <w:pStyle w:val="TableContents"/>
              <w:bidi w:val="0"/>
              <w:spacing w:before="0" w:after="283"/>
              <w:jc w:val="left"/>
              <w:rPr/>
            </w:pPr>
            <w:r>
              <w:rPr/>
              <w:t>No change-in-control severance multiple in excess of three times salary and target bonus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159"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48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39" w:type="dxa"/>
            <w:tcBorders/>
            <w:vAlign w:val="center"/>
          </w:tcPr>
          <w:p>
            <w:pPr>
              <w:pStyle w:val="TableContents"/>
              <w:bidi w:val="0"/>
              <w:spacing w:before="0" w:after="283"/>
              <w:jc w:val="left"/>
              <w:rPr/>
            </w:pPr>
            <w:r>
              <w:rPr/>
              <w:t>Disclose performance goals and performance results for our Senior Management Bonus Program</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361" w:type="dxa"/>
            <w:tcBorders/>
            <w:vAlign w:val="center"/>
          </w:tcPr>
          <w:p>
            <w:pPr>
              <w:pStyle w:val="TableContents"/>
              <w:bidi w:val="0"/>
              <w:spacing w:before="0" w:after="283"/>
              <w:jc w:val="left"/>
              <w:rPr/>
            </w:pPr>
            <w:r>
              <w:rPr/>
              <w:t>No re-pricing or cash buyout of underwater stock options or stock appreciation rights (“SARs”) allowed</w:t>
            </w:r>
          </w:p>
        </w:tc>
      </w:tr>
      <w:tr>
        <w:trPr/>
        <w:tc>
          <w:tcPr>
            <w:tcW w:w="245" w:type="dxa"/>
            <w:tcBorders/>
            <w:shd w:fill="ABD8EA" w:val="clear"/>
            <w:vAlign w:val="center"/>
          </w:tcPr>
          <w:p>
            <w:pPr>
              <w:pStyle w:val="TableContents"/>
              <w:bidi w:val="0"/>
              <w:spacing w:before="0" w:after="283"/>
              <w:jc w:val="left"/>
              <w:rPr>
                <w:sz w:val="4"/>
                <w:szCs w:val="4"/>
              </w:rPr>
            </w:pPr>
            <w:r>
              <w:rPr>
                <w:sz w:val="4"/>
                <w:szCs w:val="4"/>
              </w:rPr>
            </w:r>
          </w:p>
        </w:tc>
        <w:tc>
          <w:tcPr>
            <w:tcW w:w="6159"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348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45" w:type="dxa"/>
            <w:tcBorders/>
            <w:shd w:fill="ABD8EA" w:val="clear"/>
            <w:vAlign w:val="center"/>
          </w:tcPr>
          <w:p>
            <w:pPr>
              <w:pStyle w:val="TableContents"/>
              <w:bidi w:val="0"/>
              <w:spacing w:before="0" w:after="283"/>
              <w:jc w:val="left"/>
              <w:rPr/>
            </w:pPr>
            <w:r>
              <w:rPr/>
              <w:t>✓</w:t>
            </w:r>
          </w:p>
        </w:tc>
        <w:tc>
          <w:tcPr>
            <w:tcW w:w="120" w:type="dxa"/>
            <w:tcBorders/>
            <w:shd w:fill="ABD8EA" w:val="clear"/>
            <w:vAlign w:val="center"/>
          </w:tcPr>
          <w:p>
            <w:pPr>
              <w:pStyle w:val="TableContents"/>
              <w:bidi w:val="0"/>
              <w:spacing w:before="0" w:after="283"/>
              <w:jc w:val="left"/>
              <w:rPr/>
            </w:pPr>
            <w:r>
              <w:rPr/>
              <w:t>  </w:t>
            </w:r>
          </w:p>
        </w:tc>
        <w:tc>
          <w:tcPr>
            <w:tcW w:w="6039" w:type="dxa"/>
            <w:tcBorders/>
            <w:shd w:fill="ABD8EA" w:val="clear"/>
            <w:vAlign w:val="center"/>
          </w:tcPr>
          <w:p>
            <w:pPr>
              <w:pStyle w:val="TableContents"/>
              <w:bidi w:val="0"/>
              <w:spacing w:before="0" w:after="283"/>
              <w:jc w:val="left"/>
              <w:rPr/>
            </w:pPr>
            <w:r>
              <w:rPr/>
              <w:t>Set a maximum individual payout limit on our Senior Management Bonus Program</w:t>
            </w:r>
          </w:p>
        </w:tc>
        <w:tc>
          <w:tcPr>
            <w:tcW w:w="120" w:type="dxa"/>
            <w:tcBorders/>
            <w:shd w:fill="ABD8EA" w:val="clear"/>
            <w:vAlign w:val="center"/>
          </w:tcPr>
          <w:p>
            <w:pPr>
              <w:pStyle w:val="TableContents"/>
              <w:bidi w:val="0"/>
              <w:spacing w:before="0" w:after="283"/>
              <w:jc w:val="left"/>
              <w:rPr/>
            </w:pPr>
            <w:r>
              <w:rPr/>
              <w:t>  </w:t>
            </w:r>
          </w:p>
        </w:tc>
        <w:tc>
          <w:tcPr>
            <w:tcW w:w="200" w:type="dxa"/>
            <w:tcBorders/>
            <w:shd w:fill="ABD8EA" w:val="clear"/>
            <w:vAlign w:val="center"/>
          </w:tcPr>
          <w:p>
            <w:pPr>
              <w:pStyle w:val="TableContents"/>
              <w:bidi w:val="0"/>
              <w:spacing w:before="0" w:after="283"/>
              <w:jc w:val="left"/>
              <w:rPr/>
            </w:pPr>
            <w:r>
              <w:rPr/>
              <w:t>X</w:t>
            </w:r>
          </w:p>
        </w:tc>
        <w:tc>
          <w:tcPr>
            <w:tcW w:w="120" w:type="dxa"/>
            <w:tcBorders/>
            <w:shd w:fill="ABD8EA" w:val="clear"/>
            <w:vAlign w:val="center"/>
          </w:tcPr>
          <w:p>
            <w:pPr>
              <w:pStyle w:val="TableContents"/>
              <w:bidi w:val="0"/>
              <w:spacing w:before="0" w:after="283"/>
              <w:jc w:val="left"/>
              <w:rPr/>
            </w:pPr>
            <w:r>
              <w:rPr/>
              <w:t>  </w:t>
            </w:r>
          </w:p>
        </w:tc>
        <w:tc>
          <w:tcPr>
            <w:tcW w:w="3361" w:type="dxa"/>
            <w:tcBorders/>
            <w:shd w:fill="ABD8EA" w:val="clear"/>
            <w:vAlign w:val="center"/>
          </w:tcPr>
          <w:p>
            <w:pPr>
              <w:pStyle w:val="TableContents"/>
              <w:bidi w:val="0"/>
              <w:spacing w:before="0" w:after="283"/>
              <w:jc w:val="left"/>
              <w:rPr/>
            </w:pPr>
            <w:r>
              <w:rPr/>
              <w:t>No enhanced retirement formulas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159"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48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39" w:type="dxa"/>
            <w:tcBorders/>
            <w:vAlign w:val="center"/>
          </w:tcPr>
          <w:p>
            <w:pPr>
              <w:pStyle w:val="TableContents"/>
              <w:bidi w:val="0"/>
              <w:spacing w:before="0" w:after="283"/>
              <w:jc w:val="left"/>
              <w:rPr/>
            </w:pPr>
            <w:r>
              <w:rPr/>
              <w:t>Limited perquisites and other benefits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120" w:type="dxa"/>
            <w:tcBorders/>
            <w:vAlign w:val="center"/>
          </w:tcPr>
          <w:p>
            <w:pPr>
              <w:pStyle w:val="TableContents"/>
              <w:bidi w:val="0"/>
              <w:spacing w:before="0" w:after="283"/>
              <w:jc w:val="left"/>
              <w:rPr/>
            </w:pPr>
            <w:r>
              <w:rPr/>
              <w:t>  </w:t>
            </w:r>
          </w:p>
        </w:tc>
        <w:tc>
          <w:tcPr>
            <w:tcW w:w="3361" w:type="dxa"/>
            <w:tcBorders/>
            <w:vAlign w:val="center"/>
          </w:tcPr>
          <w:p>
            <w:pPr>
              <w:pStyle w:val="TableContents"/>
              <w:bidi w:val="0"/>
              <w:spacing w:before="0" w:after="283"/>
              <w:jc w:val="left"/>
              <w:rPr/>
            </w:pPr>
            <w:r>
              <w:rPr/>
              <w:t>No guaranteed compensation either annually or multi-year</w:t>
            </w:r>
          </w:p>
        </w:tc>
      </w:tr>
      <w:tr>
        <w:trPr/>
        <w:tc>
          <w:tcPr>
            <w:tcW w:w="245" w:type="dxa"/>
            <w:tcBorders/>
            <w:shd w:fill="ABD8EA" w:val="clear"/>
            <w:vAlign w:val="center"/>
          </w:tcPr>
          <w:p>
            <w:pPr>
              <w:pStyle w:val="TableContents"/>
              <w:bidi w:val="0"/>
              <w:spacing w:before="0" w:after="283"/>
              <w:jc w:val="left"/>
              <w:rPr>
                <w:sz w:val="4"/>
                <w:szCs w:val="4"/>
              </w:rPr>
            </w:pPr>
            <w:r>
              <w:rPr>
                <w:sz w:val="4"/>
                <w:szCs w:val="4"/>
              </w:rPr>
            </w:r>
          </w:p>
        </w:tc>
        <w:tc>
          <w:tcPr>
            <w:tcW w:w="6159" w:type="dxa"/>
            <w:gridSpan w:val="2"/>
            <w:tcBorders/>
            <w:shd w:fill="ABD8EA" w:val="clear"/>
            <w:vAlign w:val="center"/>
          </w:tcPr>
          <w:p>
            <w:pPr>
              <w:pStyle w:val="TableContents"/>
              <w:bidi w:val="0"/>
              <w:spacing w:before="0" w:after="283"/>
              <w:jc w:val="left"/>
              <w:rPr>
                <w:sz w:val="4"/>
                <w:szCs w:val="4"/>
              </w:rPr>
            </w:pPr>
            <w:r>
              <w:rPr>
                <w:sz w:val="4"/>
                <w:szCs w:val="4"/>
              </w:rPr>
            </w:r>
          </w:p>
        </w:tc>
        <w:tc>
          <w:tcPr>
            <w:tcW w:w="320" w:type="dxa"/>
            <w:gridSpan w:val="2"/>
            <w:tcBorders/>
            <w:shd w:fill="ABD8EA" w:val="clear"/>
            <w:vAlign w:val="center"/>
          </w:tcPr>
          <w:p>
            <w:pPr>
              <w:pStyle w:val="TableContents"/>
              <w:bidi w:val="0"/>
              <w:spacing w:before="0" w:after="283"/>
              <w:jc w:val="left"/>
              <w:rPr>
                <w:sz w:val="4"/>
                <w:szCs w:val="4"/>
              </w:rPr>
            </w:pPr>
            <w:r>
              <w:rPr>
                <w:sz w:val="4"/>
                <w:szCs w:val="4"/>
              </w:rPr>
            </w:r>
          </w:p>
        </w:tc>
        <w:tc>
          <w:tcPr>
            <w:tcW w:w="348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245" w:type="dxa"/>
            <w:tcBorders/>
            <w:shd w:fill="ABD8EA" w:val="clear"/>
            <w:vAlign w:val="center"/>
          </w:tcPr>
          <w:p>
            <w:pPr>
              <w:pStyle w:val="TableContents"/>
              <w:bidi w:val="0"/>
              <w:spacing w:before="0" w:after="283"/>
              <w:jc w:val="left"/>
              <w:rPr/>
            </w:pPr>
            <w:r>
              <w:rPr/>
              <w:t>✓</w:t>
            </w:r>
          </w:p>
        </w:tc>
        <w:tc>
          <w:tcPr>
            <w:tcW w:w="120" w:type="dxa"/>
            <w:tcBorders/>
            <w:shd w:fill="ABD8EA" w:val="clear"/>
            <w:vAlign w:val="center"/>
          </w:tcPr>
          <w:p>
            <w:pPr>
              <w:pStyle w:val="TableContents"/>
              <w:bidi w:val="0"/>
              <w:spacing w:before="0" w:after="283"/>
              <w:jc w:val="left"/>
              <w:rPr/>
            </w:pPr>
            <w:r>
              <w:rPr/>
              <w:t>  </w:t>
            </w:r>
          </w:p>
        </w:tc>
        <w:tc>
          <w:tcPr>
            <w:tcW w:w="6039" w:type="dxa"/>
            <w:tcBorders/>
            <w:shd w:fill="ABD8EA" w:val="clear"/>
            <w:vAlign w:val="center"/>
          </w:tcPr>
          <w:p>
            <w:pPr>
              <w:pStyle w:val="TableContents"/>
              <w:bidi w:val="0"/>
              <w:spacing w:before="0" w:after="283"/>
              <w:jc w:val="left"/>
              <w:rPr/>
            </w:pPr>
            <w:r>
              <w:rPr/>
              <w:t>Incorporate general severance and change-in-control provisions in Separation and Change in Control Agreements with our executives that are consistent with market practice, including double-trigger requirements for change-in-control protection</w:t>
            </w:r>
          </w:p>
        </w:tc>
        <w:tc>
          <w:tcPr>
            <w:tcW w:w="120" w:type="dxa"/>
            <w:tcBorders/>
            <w:shd w:fill="ABD8EA" w:val="clear"/>
            <w:vAlign w:val="center"/>
          </w:tcPr>
          <w:p>
            <w:pPr>
              <w:pStyle w:val="TableContents"/>
              <w:bidi w:val="0"/>
              <w:spacing w:before="0" w:after="283"/>
              <w:jc w:val="left"/>
              <w:rPr/>
            </w:pPr>
            <w:r>
              <w:rPr/>
              <w:t>  </w:t>
            </w:r>
          </w:p>
        </w:tc>
        <w:tc>
          <w:tcPr>
            <w:tcW w:w="200" w:type="dxa"/>
            <w:tcBorders/>
            <w:shd w:fill="ABD8EA" w:val="clear"/>
            <w:vAlign w:val="center"/>
          </w:tcPr>
          <w:p>
            <w:pPr>
              <w:pStyle w:val="TableContents"/>
              <w:bidi w:val="0"/>
              <w:spacing w:before="0" w:after="283"/>
              <w:jc w:val="left"/>
              <w:rPr/>
            </w:pPr>
            <w:r>
              <w:rPr/>
              <w:t>X</w:t>
            </w:r>
          </w:p>
        </w:tc>
        <w:tc>
          <w:tcPr>
            <w:tcW w:w="120" w:type="dxa"/>
            <w:tcBorders/>
            <w:shd w:fill="ABD8EA" w:val="clear"/>
            <w:vAlign w:val="center"/>
          </w:tcPr>
          <w:p>
            <w:pPr>
              <w:pStyle w:val="TableContents"/>
              <w:bidi w:val="0"/>
              <w:spacing w:before="0" w:after="283"/>
              <w:jc w:val="left"/>
              <w:rPr/>
            </w:pPr>
            <w:r>
              <w:rPr/>
              <w:t>  </w:t>
            </w:r>
          </w:p>
        </w:tc>
        <w:tc>
          <w:tcPr>
            <w:tcW w:w="3361" w:type="dxa"/>
            <w:tcBorders/>
            <w:shd w:fill="ABD8EA" w:val="clear"/>
            <w:vAlign w:val="center"/>
          </w:tcPr>
          <w:p>
            <w:pPr>
              <w:pStyle w:val="TableContents"/>
              <w:bidi w:val="0"/>
              <w:spacing w:before="0" w:after="283"/>
              <w:jc w:val="left"/>
              <w:rPr/>
            </w:pPr>
            <w:r>
              <w:rPr/>
              <w:t>No market timing with granting of equity awards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159"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48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39" w:type="dxa"/>
            <w:tcBorders/>
            <w:vAlign w:val="center"/>
          </w:tcPr>
          <w:p>
            <w:pPr>
              <w:pStyle w:val="TableContents"/>
              <w:bidi w:val="0"/>
              <w:spacing w:before="0" w:after="283"/>
              <w:jc w:val="left"/>
              <w:rPr/>
            </w:pPr>
            <w:r>
              <w:rPr/>
              <w:t>Retain an independent compensation consultant reporting directly to the Committee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361" w:type="dxa"/>
            <w:tcBorders/>
            <w:vAlign w:val="center"/>
          </w:tcPr>
          <w:p>
            <w:pPr>
              <w:pStyle w:val="TableContents"/>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programs are intended to attract and retain executive officers and to align the interests of our executive officers and our stockholders. The Committee’s objectives for our programs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reflecting industry standards, offering competitive total compensation opportunities and balancing the need for talent with reasonable compensation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enhancing stockholder value by focusing management on financial metrics that drive value;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focusing on at-risk, incentive-based compensation versus fixed compensation;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attracting, motivating and retaining executive talent willing to commit to long-term stockholder value creation; and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aligning executive decision-making with business strategy and discouraging excessive risk taking.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Committee determines the type and amount of compensation opportunity for our officers based on a thorough review of a variety of factors, including competitive market data, the officer’s current responsibilities and value to the Company, future leadership potential and corporate/business/individual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executive compensation structure strikes a balance of incentive opportunities based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metrics in the Senior Management Bonus Program that directly impact our stock price and enhance longer-term stockholder value;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price performance through performance restricted stock units (PRSUs) and restricted stock units (RSUs) to focus our executive team on delivering superior long-term stockholder value.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outlines the elements of our executive pay programs and each element’s relationship with our ongoing annual executive compensation philosophy for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2"/>
        <w:gridCol w:w="120"/>
        <w:gridCol w:w="2525"/>
        <w:gridCol w:w="120"/>
        <w:gridCol w:w="4236"/>
        <w:gridCol w:w="120"/>
        <w:gridCol w:w="1392"/>
      </w:tblGrid>
      <w:tr>
        <w:trPr/>
        <w:tc>
          <w:tcPr>
            <w:tcW w:w="16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16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Component</w:t>
            </w:r>
          </w:p>
        </w:tc>
        <w:tc>
          <w:tcPr>
            <w:tcW w:w="12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Purpose</w:t>
            </w:r>
          </w:p>
        </w:tc>
        <w:tc>
          <w:tcPr>
            <w:tcW w:w="120" w:type="dxa"/>
            <w:tcBorders/>
            <w:vAlign w:val="center"/>
          </w:tcPr>
          <w:p>
            <w:pPr>
              <w:pStyle w:val="TableContents"/>
              <w:bidi w:val="0"/>
              <w:spacing w:before="0" w:after="283"/>
              <w:jc w:val="left"/>
              <w:rPr/>
            </w:pPr>
            <w:r>
              <w:rPr/>
              <w:t>  </w:t>
            </w:r>
          </w:p>
        </w:tc>
        <w:tc>
          <w:tcPr>
            <w:tcW w:w="42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Characteristics</w:t>
            </w:r>
          </w:p>
        </w:tc>
        <w:tc>
          <w:tcPr>
            <w:tcW w:w="120" w:type="dxa"/>
            <w:tcBorders/>
            <w:vAlign w:val="center"/>
          </w:tcPr>
          <w:p>
            <w:pPr>
              <w:pStyle w:val="TableContents"/>
              <w:bidi w:val="0"/>
              <w:spacing w:before="0" w:after="283"/>
              <w:jc w:val="left"/>
              <w:rPr/>
            </w:pPr>
            <w:r>
              <w:rPr/>
              <w:t>  </w:t>
            </w:r>
          </w:p>
        </w:tc>
        <w:tc>
          <w:tcPr>
            <w:tcW w:w="13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Fixed or</w:t>
              <w:br/>
              <w:t>Performance-</w:t>
              <w:br/>
              <w:t>Based</w:t>
            </w:r>
          </w:p>
        </w:tc>
      </w:tr>
      <w:tr>
        <w:trPr/>
        <w:tc>
          <w:tcPr>
            <w:tcW w:w="1692" w:type="dxa"/>
            <w:tcBorders/>
            <w:shd w:fill="ABD8EA" w:val="clear"/>
            <w:vAlign w:val="center"/>
          </w:tcPr>
          <w:p>
            <w:pPr>
              <w:pStyle w:val="TableContents"/>
              <w:bidi w:val="0"/>
              <w:spacing w:before="0" w:after="283"/>
              <w:jc w:val="left"/>
              <w:rPr>
                <w:sz w:val="4"/>
                <w:szCs w:val="4"/>
              </w:rPr>
            </w:pPr>
            <w:r>
              <w:rPr>
                <w:sz w:val="4"/>
                <w:szCs w:val="4"/>
              </w:rPr>
            </w:r>
          </w:p>
        </w:tc>
        <w:tc>
          <w:tcPr>
            <w:tcW w:w="2645" w:type="dxa"/>
            <w:gridSpan w:val="2"/>
            <w:tcBorders/>
            <w:shd w:fill="ABD8EA" w:val="clear"/>
            <w:vAlign w:val="center"/>
          </w:tcPr>
          <w:p>
            <w:pPr>
              <w:pStyle w:val="TableContents"/>
              <w:bidi w:val="0"/>
              <w:spacing w:before="0" w:after="283"/>
              <w:jc w:val="left"/>
              <w:rPr>
                <w:sz w:val="4"/>
                <w:szCs w:val="4"/>
              </w:rPr>
            </w:pPr>
            <w:r>
              <w:rPr>
                <w:sz w:val="4"/>
                <w:szCs w:val="4"/>
              </w:rPr>
            </w:r>
          </w:p>
        </w:tc>
        <w:tc>
          <w:tcPr>
            <w:tcW w:w="4356" w:type="dxa"/>
            <w:gridSpan w:val="2"/>
            <w:tcBorders/>
            <w:shd w:fill="ABD8EA" w:val="clear"/>
            <w:vAlign w:val="center"/>
          </w:tcPr>
          <w:p>
            <w:pPr>
              <w:pStyle w:val="TableContents"/>
              <w:bidi w:val="0"/>
              <w:spacing w:before="0" w:after="283"/>
              <w:jc w:val="left"/>
              <w:rPr>
                <w:sz w:val="4"/>
                <w:szCs w:val="4"/>
              </w:rPr>
            </w:pPr>
            <w:r>
              <w:rPr>
                <w:sz w:val="4"/>
                <w:szCs w:val="4"/>
              </w:rPr>
            </w:r>
          </w:p>
        </w:tc>
        <w:tc>
          <w:tcPr>
            <w:tcW w:w="1512"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1692" w:type="dxa"/>
            <w:tcBorders/>
            <w:shd w:fill="ABD8EA" w:val="clear"/>
            <w:vAlign w:val="center"/>
          </w:tcPr>
          <w:p>
            <w:pPr>
              <w:pStyle w:val="TableContents"/>
              <w:bidi w:val="0"/>
              <w:spacing w:before="0" w:after="283"/>
              <w:jc w:val="left"/>
              <w:rPr>
                <w:b/>
              </w:rPr>
            </w:pPr>
            <w:r>
              <w:rPr>
                <w:b/>
              </w:rPr>
              <w:t>Base Salary</w:t>
            </w:r>
          </w:p>
        </w:tc>
        <w:tc>
          <w:tcPr>
            <w:tcW w:w="120" w:type="dxa"/>
            <w:tcBorders/>
            <w:shd w:fill="ABD8EA" w:val="clear"/>
            <w:vAlign w:val="center"/>
          </w:tcPr>
          <w:p>
            <w:pPr>
              <w:pStyle w:val="TableContents"/>
              <w:bidi w:val="0"/>
              <w:spacing w:before="0" w:after="283"/>
              <w:jc w:val="left"/>
              <w:rPr/>
            </w:pPr>
            <w:r>
              <w:rPr/>
              <w:t>  </w:t>
            </w:r>
          </w:p>
        </w:tc>
        <w:tc>
          <w:tcPr>
            <w:tcW w:w="2525" w:type="dxa"/>
            <w:tcBorders/>
            <w:shd w:fill="ABD8EA" w:val="clear"/>
            <w:vAlign w:val="center"/>
          </w:tcPr>
          <w:p>
            <w:pPr>
              <w:pStyle w:val="TableContents"/>
              <w:bidi w:val="0"/>
              <w:spacing w:before="0" w:after="283"/>
              <w:jc w:val="left"/>
              <w:rPr/>
            </w:pPr>
            <w:r>
              <w:rPr/>
              <w:t>Attracts and retains executives through market-based pay</w:t>
            </w:r>
          </w:p>
        </w:tc>
        <w:tc>
          <w:tcPr>
            <w:tcW w:w="120" w:type="dxa"/>
            <w:tcBorders/>
            <w:shd w:fill="ABD8EA" w:val="clear"/>
            <w:vAlign w:val="center"/>
          </w:tcPr>
          <w:p>
            <w:pPr>
              <w:pStyle w:val="TableContents"/>
              <w:bidi w:val="0"/>
              <w:spacing w:before="0" w:after="283"/>
              <w:jc w:val="left"/>
              <w:rPr/>
            </w:pPr>
            <w:r>
              <w:rPr/>
              <w:t>  </w:t>
            </w:r>
          </w:p>
        </w:tc>
        <w:tc>
          <w:tcPr>
            <w:tcW w:w="4236" w:type="dxa"/>
            <w:tcBorders/>
            <w:shd w:fill="ABD8EA" w:val="clear"/>
            <w:vAlign w:val="center"/>
          </w:tcPr>
          <w:p>
            <w:pPr>
              <w:pStyle w:val="TableContents"/>
              <w:bidi w:val="0"/>
              <w:spacing w:before="0" w:after="283"/>
              <w:jc w:val="left"/>
              <w:rPr/>
            </w:pPr>
            <w:r>
              <w:rPr/>
              <w:t>Compensates executives fairly and competitively for their roles</w:t>
            </w:r>
          </w:p>
        </w:tc>
        <w:tc>
          <w:tcPr>
            <w:tcW w:w="120" w:type="dxa"/>
            <w:tcBorders/>
            <w:shd w:fill="ABD8EA" w:val="clear"/>
            <w:vAlign w:val="center"/>
          </w:tcPr>
          <w:p>
            <w:pPr>
              <w:pStyle w:val="TableContents"/>
              <w:bidi w:val="0"/>
              <w:spacing w:before="0" w:after="283"/>
              <w:jc w:val="left"/>
              <w:rPr/>
            </w:pPr>
            <w:r>
              <w:rPr/>
              <w:t>  </w:t>
            </w:r>
          </w:p>
        </w:tc>
        <w:tc>
          <w:tcPr>
            <w:tcW w:w="1392" w:type="dxa"/>
            <w:tcBorders/>
            <w:shd w:fill="ABD8EA" w:val="clear"/>
            <w:vAlign w:val="center"/>
          </w:tcPr>
          <w:p>
            <w:pPr>
              <w:pStyle w:val="TableContents"/>
              <w:bidi w:val="0"/>
              <w:spacing w:before="0" w:after="283"/>
              <w:jc w:val="center"/>
              <w:rPr/>
            </w:pPr>
            <w:r>
              <w:rPr/>
              <w:t>Fixed</w:t>
            </w:r>
          </w:p>
        </w:tc>
      </w:tr>
      <w:tr>
        <w:trPr/>
        <w:tc>
          <w:tcPr>
            <w:tcW w:w="1692" w:type="dxa"/>
            <w:tcBorders/>
            <w:vAlign w:val="center"/>
          </w:tcPr>
          <w:p>
            <w:pPr>
              <w:pStyle w:val="TableContents"/>
              <w:bidi w:val="0"/>
              <w:spacing w:before="0" w:after="283"/>
              <w:jc w:val="left"/>
              <w:rPr>
                <w:sz w:val="4"/>
                <w:szCs w:val="4"/>
              </w:rPr>
            </w:pPr>
            <w:r>
              <w:rPr>
                <w:sz w:val="4"/>
                <w:szCs w:val="4"/>
              </w:rPr>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435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r>
      <w:tr>
        <w:trPr/>
        <w:tc>
          <w:tcPr>
            <w:tcW w:w="169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Bonus</w:t>
            </w:r>
          </w:p>
          <w:p>
            <w:pPr>
              <w:pStyle w:val="TableContents"/>
              <w:bidi w:val="0"/>
              <w:spacing w:before="0" w:after="20"/>
              <w:jc w:val="left"/>
              <w:rPr>
                <w:rFonts w:ascii="Times New Roman" w:hAnsi="Times New Roman"/>
                <w:i/>
                <w:sz w:val="20"/>
              </w:rPr>
            </w:pPr>
            <w:r>
              <w:rPr>
                <w:rFonts w:ascii="Times New Roman" w:hAnsi="Times New Roman"/>
                <w:i/>
                <w:sz w:val="20"/>
              </w:rPr>
              <w:t>(Senior Management Bonus Program)</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Encourages achievement of financial performance metrics that drive short-term results</w:t>
            </w:r>
          </w:p>
        </w:tc>
        <w:tc>
          <w:tcPr>
            <w:tcW w:w="120" w:type="dxa"/>
            <w:tcBorders/>
            <w:vAlign w:val="center"/>
          </w:tcPr>
          <w:p>
            <w:pPr>
              <w:pStyle w:val="TableContents"/>
              <w:bidi w:val="0"/>
              <w:spacing w:before="0" w:after="283"/>
              <w:jc w:val="left"/>
              <w:rPr/>
            </w:pPr>
            <w:r>
              <w:rPr/>
              <w:t>  </w:t>
            </w:r>
          </w:p>
        </w:tc>
        <w:tc>
          <w:tcPr>
            <w:tcW w:w="4236" w:type="dxa"/>
            <w:tcBorders/>
            <w:vAlign w:val="center"/>
          </w:tcPr>
          <w:p>
            <w:pPr>
              <w:pStyle w:val="TableContents"/>
              <w:bidi w:val="0"/>
              <w:spacing w:before="0" w:after="283"/>
              <w:jc w:val="left"/>
              <w:rPr/>
            </w:pPr>
            <w:r>
              <w:rPr/>
              <w:t>Based on achievement of predefined corporate and business financial performance objectives</w:t>
            </w:r>
          </w:p>
        </w:tc>
        <w:tc>
          <w:tcPr>
            <w:tcW w:w="120"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center"/>
              <w:rPr/>
            </w:pPr>
            <w:r>
              <w:rPr/>
              <w:t>Performance- Based</w:t>
            </w:r>
          </w:p>
        </w:tc>
      </w:tr>
      <w:tr>
        <w:trPr/>
        <w:tc>
          <w:tcPr>
            <w:tcW w:w="1692" w:type="dxa"/>
            <w:tcBorders/>
            <w:shd w:fill="ABD8EA" w:val="clear"/>
            <w:vAlign w:val="center"/>
          </w:tcPr>
          <w:p>
            <w:pPr>
              <w:pStyle w:val="TableContents"/>
              <w:bidi w:val="0"/>
              <w:spacing w:before="0" w:after="283"/>
              <w:jc w:val="left"/>
              <w:rPr>
                <w:sz w:val="4"/>
                <w:szCs w:val="4"/>
              </w:rPr>
            </w:pPr>
            <w:r>
              <w:rPr>
                <w:sz w:val="4"/>
                <w:szCs w:val="4"/>
              </w:rPr>
            </w:r>
          </w:p>
        </w:tc>
        <w:tc>
          <w:tcPr>
            <w:tcW w:w="2645" w:type="dxa"/>
            <w:gridSpan w:val="2"/>
            <w:tcBorders/>
            <w:shd w:fill="ABD8EA" w:val="clear"/>
            <w:vAlign w:val="center"/>
          </w:tcPr>
          <w:p>
            <w:pPr>
              <w:pStyle w:val="TableContents"/>
              <w:bidi w:val="0"/>
              <w:spacing w:before="0" w:after="283"/>
              <w:jc w:val="left"/>
              <w:rPr>
                <w:sz w:val="4"/>
                <w:szCs w:val="4"/>
              </w:rPr>
            </w:pPr>
            <w:r>
              <w:rPr>
                <w:sz w:val="4"/>
                <w:szCs w:val="4"/>
              </w:rPr>
            </w:r>
          </w:p>
        </w:tc>
        <w:tc>
          <w:tcPr>
            <w:tcW w:w="4356" w:type="dxa"/>
            <w:gridSpan w:val="2"/>
            <w:tcBorders/>
            <w:shd w:fill="ABD8EA" w:val="clear"/>
            <w:vAlign w:val="center"/>
          </w:tcPr>
          <w:p>
            <w:pPr>
              <w:pStyle w:val="TableContents"/>
              <w:bidi w:val="0"/>
              <w:spacing w:before="0" w:after="283"/>
              <w:jc w:val="left"/>
              <w:rPr>
                <w:sz w:val="4"/>
                <w:szCs w:val="4"/>
              </w:rPr>
            </w:pPr>
            <w:r>
              <w:rPr>
                <w:sz w:val="4"/>
                <w:szCs w:val="4"/>
              </w:rPr>
            </w:r>
          </w:p>
        </w:tc>
        <w:tc>
          <w:tcPr>
            <w:tcW w:w="1512"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1692" w:type="dxa"/>
            <w:tcBorders/>
            <w:shd w:fill="ABD8EA" w:val="clear"/>
            <w:vAlign w:val="center"/>
          </w:tcPr>
          <w:p>
            <w:pPr>
              <w:pStyle w:val="TableContents"/>
              <w:bidi w:val="0"/>
              <w:spacing w:before="0" w:after="283"/>
              <w:jc w:val="left"/>
              <w:rPr/>
            </w:pPr>
            <w:r>
              <w:rPr>
                <w:b/>
              </w:rPr>
              <w:t>Long-Term Incentives</w:t>
            </w:r>
            <w:r>
              <w:rPr/>
              <w:t xml:space="preserve"> (“LTI”)</w:t>
            </w:r>
          </w:p>
        </w:tc>
        <w:tc>
          <w:tcPr>
            <w:tcW w:w="120" w:type="dxa"/>
            <w:tcBorders/>
            <w:shd w:fill="ABD8EA" w:val="clear"/>
            <w:vAlign w:val="center"/>
          </w:tcPr>
          <w:p>
            <w:pPr>
              <w:pStyle w:val="TableContents"/>
              <w:bidi w:val="0"/>
              <w:spacing w:before="0" w:after="283"/>
              <w:jc w:val="left"/>
              <w:rPr/>
            </w:pPr>
            <w:r>
              <w:rPr/>
              <w:t>  </w:t>
            </w:r>
          </w:p>
        </w:tc>
        <w:tc>
          <w:tcPr>
            <w:tcW w:w="2525" w:type="dxa"/>
            <w:tcBorders/>
            <w:shd w:fill="ABD8EA" w:val="clear"/>
            <w:vAlign w:val="center"/>
          </w:tcPr>
          <w:p>
            <w:pPr>
              <w:pStyle w:val="TableContents"/>
              <w:bidi w:val="0"/>
              <w:spacing w:before="0" w:after="283"/>
              <w:jc w:val="left"/>
              <w:rPr/>
            </w:pPr>
            <w:r>
              <w:rPr/>
              <w:t>Align executives’ long-term compensation interests with stockholders’ investment interests</w:t>
            </w:r>
          </w:p>
        </w:tc>
        <w:tc>
          <w:tcPr>
            <w:tcW w:w="120" w:type="dxa"/>
            <w:tcBorders/>
            <w:shd w:fill="ABD8EA" w:val="clear"/>
            <w:vAlign w:val="center"/>
          </w:tcPr>
          <w:p>
            <w:pPr>
              <w:pStyle w:val="TableContents"/>
              <w:bidi w:val="0"/>
              <w:spacing w:before="0" w:after="283"/>
              <w:jc w:val="left"/>
              <w:rPr/>
            </w:pPr>
            <w:r>
              <w:rPr/>
              <w:t>  </w:t>
            </w:r>
          </w:p>
        </w:tc>
        <w:tc>
          <w:tcPr>
            <w:tcW w:w="4236" w:type="dxa"/>
            <w:tcBorders/>
            <w:shd w:fill="ABD8EA" w:val="clear"/>
            <w:vAlign w:val="center"/>
          </w:tcPr>
          <w:p>
            <w:pPr>
              <w:pStyle w:val="TableContents"/>
              <w:bidi w:val="0"/>
              <w:spacing w:before="0" w:after="283"/>
              <w:jc w:val="left"/>
              <w:rPr/>
            </w:pPr>
            <w:r>
              <w:rPr/>
              <w:t>Value to the executive is based on long-term stock price performance</w:t>
            </w:r>
          </w:p>
        </w:tc>
        <w:tc>
          <w:tcPr>
            <w:tcW w:w="120" w:type="dxa"/>
            <w:tcBorders/>
            <w:shd w:fill="ABD8EA" w:val="clear"/>
            <w:vAlign w:val="center"/>
          </w:tcPr>
          <w:p>
            <w:pPr>
              <w:pStyle w:val="TableContents"/>
              <w:bidi w:val="0"/>
              <w:spacing w:before="0" w:after="283"/>
              <w:jc w:val="left"/>
              <w:rPr/>
            </w:pPr>
            <w:r>
              <w:rPr/>
              <w:t>  </w:t>
            </w:r>
          </w:p>
        </w:tc>
        <w:tc>
          <w:tcPr>
            <w:tcW w:w="1392" w:type="dxa"/>
            <w:tcBorders/>
            <w:shd w:fill="ABD8EA" w:val="clear"/>
            <w:vAlign w:val="center"/>
          </w:tcPr>
          <w:p>
            <w:pPr>
              <w:pStyle w:val="TableContents"/>
              <w:bidi w:val="0"/>
              <w:spacing w:before="0" w:after="283"/>
              <w:jc w:val="center"/>
              <w:rPr/>
            </w:pPr>
            <w:r>
              <w:rPr/>
              <w:t>Performance- Based</w:t>
            </w:r>
          </w:p>
        </w:tc>
      </w:tr>
      <w:tr>
        <w:trPr/>
        <w:tc>
          <w:tcPr>
            <w:tcW w:w="1692" w:type="dxa"/>
            <w:tcBorders/>
            <w:vAlign w:val="center"/>
          </w:tcPr>
          <w:p>
            <w:pPr>
              <w:pStyle w:val="TableContents"/>
              <w:bidi w:val="0"/>
              <w:spacing w:before="0" w:after="283"/>
              <w:jc w:val="left"/>
              <w:rPr>
                <w:sz w:val="4"/>
                <w:szCs w:val="4"/>
              </w:rPr>
            </w:pPr>
            <w:r>
              <w:rPr>
                <w:sz w:val="4"/>
                <w:szCs w:val="4"/>
              </w:rPr>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435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r>
      <w:tr>
        <w:trPr/>
        <w:tc>
          <w:tcPr>
            <w:tcW w:w="1692" w:type="dxa"/>
            <w:tcBorders/>
            <w:vAlign w:val="center"/>
          </w:tcPr>
          <w:p>
            <w:pPr>
              <w:pStyle w:val="TableContents"/>
              <w:bidi w:val="0"/>
              <w:spacing w:before="0" w:after="283"/>
              <w:jc w:val="left"/>
              <w:rPr>
                <w:i/>
              </w:rPr>
            </w:pPr>
            <w:r>
              <w:rPr>
                <w:i/>
              </w:rPr>
              <w:t>Performance Restricted Stock Units (“PRSUs”)</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Motivate executives to provide superior relative long-term total stockholder return (TSR) through stock price growth</w:t>
            </w:r>
          </w:p>
        </w:tc>
        <w:tc>
          <w:tcPr>
            <w:tcW w:w="120" w:type="dxa"/>
            <w:tcBorders/>
            <w:vAlign w:val="center"/>
          </w:tcPr>
          <w:p>
            <w:pPr>
              <w:pStyle w:val="TableContents"/>
              <w:bidi w:val="0"/>
              <w:spacing w:before="0" w:after="283"/>
              <w:jc w:val="left"/>
              <w:rPr/>
            </w:pPr>
            <w:r>
              <w:rPr/>
              <w:t>  </w:t>
            </w:r>
          </w:p>
        </w:tc>
        <w:tc>
          <w:tcPr>
            <w:tcW w:w="4236" w:type="dxa"/>
            <w:tcBorders/>
            <w:vAlign w:val="center"/>
          </w:tcPr>
          <w:p>
            <w:pPr>
              <w:pStyle w:val="TableContents"/>
              <w:bidi w:val="0"/>
              <w:spacing w:before="0" w:after="283"/>
              <w:jc w:val="left"/>
              <w:rPr/>
            </w:pPr>
            <w:r>
              <w:rPr/>
              <w:t>Cumulative three-year TSR ranking versus Russell 3000 Food Products companies. Links with stockholder value creation; aligns with stockholders; filters out macroeconomic and other factors not within management’s control.</w:t>
            </w:r>
          </w:p>
        </w:tc>
        <w:tc>
          <w:tcPr>
            <w:tcW w:w="120"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center"/>
              <w:rPr/>
            </w:pPr>
            <w:r>
              <w:rPr/>
              <w:t>Performance- Based</w:t>
            </w:r>
          </w:p>
        </w:tc>
      </w:tr>
      <w:tr>
        <w:trPr/>
        <w:tc>
          <w:tcPr>
            <w:tcW w:w="1692" w:type="dxa"/>
            <w:tcBorders/>
            <w:shd w:fill="ABD8EA" w:val="clear"/>
            <w:vAlign w:val="center"/>
          </w:tcPr>
          <w:p>
            <w:pPr>
              <w:pStyle w:val="TableContents"/>
              <w:bidi w:val="0"/>
              <w:spacing w:before="0" w:after="283"/>
              <w:jc w:val="left"/>
              <w:rPr>
                <w:sz w:val="4"/>
                <w:szCs w:val="4"/>
              </w:rPr>
            </w:pPr>
            <w:r>
              <w:rPr>
                <w:sz w:val="4"/>
                <w:szCs w:val="4"/>
              </w:rPr>
            </w:r>
          </w:p>
        </w:tc>
        <w:tc>
          <w:tcPr>
            <w:tcW w:w="2645" w:type="dxa"/>
            <w:gridSpan w:val="2"/>
            <w:tcBorders/>
            <w:shd w:fill="ABD8EA" w:val="clear"/>
            <w:vAlign w:val="center"/>
          </w:tcPr>
          <w:p>
            <w:pPr>
              <w:pStyle w:val="TableContents"/>
              <w:bidi w:val="0"/>
              <w:spacing w:before="0" w:after="283"/>
              <w:jc w:val="left"/>
              <w:rPr>
                <w:sz w:val="4"/>
                <w:szCs w:val="4"/>
              </w:rPr>
            </w:pPr>
            <w:r>
              <w:rPr>
                <w:sz w:val="4"/>
                <w:szCs w:val="4"/>
              </w:rPr>
            </w:r>
          </w:p>
        </w:tc>
        <w:tc>
          <w:tcPr>
            <w:tcW w:w="4356" w:type="dxa"/>
            <w:gridSpan w:val="2"/>
            <w:tcBorders/>
            <w:shd w:fill="ABD8EA" w:val="clear"/>
            <w:vAlign w:val="center"/>
          </w:tcPr>
          <w:p>
            <w:pPr>
              <w:pStyle w:val="TableContents"/>
              <w:bidi w:val="0"/>
              <w:spacing w:before="0" w:after="283"/>
              <w:jc w:val="left"/>
              <w:rPr>
                <w:sz w:val="4"/>
                <w:szCs w:val="4"/>
              </w:rPr>
            </w:pPr>
            <w:r>
              <w:rPr>
                <w:sz w:val="4"/>
                <w:szCs w:val="4"/>
              </w:rPr>
            </w:r>
          </w:p>
        </w:tc>
        <w:tc>
          <w:tcPr>
            <w:tcW w:w="1512"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1692" w:type="dxa"/>
            <w:tcBorders/>
            <w:shd w:fill="ABD8EA" w:val="clear"/>
            <w:vAlign w:val="center"/>
          </w:tcPr>
          <w:p>
            <w:pPr>
              <w:pStyle w:val="TableContents"/>
              <w:bidi w:val="0"/>
              <w:spacing w:before="0" w:after="283"/>
              <w:jc w:val="left"/>
              <w:rPr>
                <w:i/>
              </w:rPr>
            </w:pPr>
            <w:r>
              <w:rPr>
                <w:i/>
              </w:rPr>
              <w:t>Restricted Stock Units (“RSUs”)</w:t>
            </w:r>
          </w:p>
        </w:tc>
        <w:tc>
          <w:tcPr>
            <w:tcW w:w="120" w:type="dxa"/>
            <w:tcBorders/>
            <w:shd w:fill="ABD8EA" w:val="clear"/>
            <w:vAlign w:val="center"/>
          </w:tcPr>
          <w:p>
            <w:pPr>
              <w:pStyle w:val="TableContents"/>
              <w:bidi w:val="0"/>
              <w:spacing w:before="0" w:after="283"/>
              <w:jc w:val="left"/>
              <w:rPr/>
            </w:pPr>
            <w:r>
              <w:rPr/>
              <w:t>  </w:t>
            </w:r>
          </w:p>
        </w:tc>
        <w:tc>
          <w:tcPr>
            <w:tcW w:w="2525" w:type="dxa"/>
            <w:tcBorders/>
            <w:shd w:fill="ABD8EA" w:val="clear"/>
            <w:vAlign w:val="center"/>
          </w:tcPr>
          <w:p>
            <w:pPr>
              <w:pStyle w:val="TableContents"/>
              <w:bidi w:val="0"/>
              <w:spacing w:before="0" w:after="283"/>
              <w:jc w:val="left"/>
              <w:rPr/>
            </w:pPr>
            <w:r>
              <w:rPr/>
              <w:t>Provide basic retention value and reinforce management behaviors to increase stock price after the grant date</w:t>
            </w:r>
          </w:p>
        </w:tc>
        <w:tc>
          <w:tcPr>
            <w:tcW w:w="120" w:type="dxa"/>
            <w:tcBorders/>
            <w:shd w:fill="ABD8EA" w:val="clear"/>
            <w:vAlign w:val="center"/>
          </w:tcPr>
          <w:p>
            <w:pPr>
              <w:pStyle w:val="TableContents"/>
              <w:bidi w:val="0"/>
              <w:spacing w:before="0" w:after="283"/>
              <w:jc w:val="left"/>
              <w:rPr/>
            </w:pPr>
            <w:r>
              <w:rPr/>
              <w:t>  </w:t>
            </w:r>
          </w:p>
        </w:tc>
        <w:tc>
          <w:tcPr>
            <w:tcW w:w="4236" w:type="dxa"/>
            <w:tcBorders/>
            <w:shd w:fill="ABD8EA" w:val="clear"/>
            <w:vAlign w:val="center"/>
          </w:tcPr>
          <w:p>
            <w:pPr>
              <w:pStyle w:val="TableContents"/>
              <w:bidi w:val="0"/>
              <w:spacing w:before="0" w:after="283"/>
              <w:jc w:val="left"/>
              <w:rPr/>
            </w:pPr>
            <w:r>
              <w:rPr/>
              <w:t>Provide upside potential but deliver some value even during periods of market or stock price underperformance, providing a retention incentive and reinforcing an ownership culture and commitment to BellRing</w:t>
            </w:r>
          </w:p>
        </w:tc>
        <w:tc>
          <w:tcPr>
            <w:tcW w:w="120" w:type="dxa"/>
            <w:tcBorders/>
            <w:shd w:fill="ABD8EA" w:val="clear"/>
            <w:vAlign w:val="center"/>
          </w:tcPr>
          <w:p>
            <w:pPr>
              <w:pStyle w:val="TableContents"/>
              <w:bidi w:val="0"/>
              <w:spacing w:before="0" w:after="283"/>
              <w:jc w:val="left"/>
              <w:rPr/>
            </w:pPr>
            <w:r>
              <w:rPr/>
              <w:t>  </w:t>
            </w:r>
          </w:p>
        </w:tc>
        <w:tc>
          <w:tcPr>
            <w:tcW w:w="1392" w:type="dxa"/>
            <w:tcBorders/>
            <w:shd w:fill="ABD8EA" w:val="clear"/>
            <w:vAlign w:val="center"/>
          </w:tcPr>
          <w:p>
            <w:pPr>
              <w:pStyle w:val="TableContents"/>
              <w:bidi w:val="0"/>
              <w:spacing w:before="0" w:after="283"/>
              <w:jc w:val="center"/>
              <w:rPr/>
            </w:pPr>
            <w:r>
              <w:rPr/>
              <w:t>Fixed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84"/>
        <w:gridCol w:w="120"/>
        <w:gridCol w:w="3880"/>
        <w:gridCol w:w="120"/>
        <w:gridCol w:w="2940"/>
        <w:gridCol w:w="120"/>
        <w:gridCol w:w="1041"/>
      </w:tblGrid>
      <w:tr>
        <w:trPr/>
        <w:tc>
          <w:tcPr>
            <w:tcW w:w="19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8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Component</w:t>
            </w:r>
          </w:p>
        </w:tc>
        <w:tc>
          <w:tcPr>
            <w:tcW w:w="120" w:type="dxa"/>
            <w:tcBorders/>
            <w:vAlign w:val="center"/>
          </w:tcPr>
          <w:p>
            <w:pPr>
              <w:pStyle w:val="TableContents"/>
              <w:bidi w:val="0"/>
              <w:spacing w:before="0" w:after="283"/>
              <w:jc w:val="left"/>
              <w:rPr/>
            </w:pPr>
            <w:r>
              <w:rPr/>
              <w:t>  </w:t>
            </w:r>
          </w:p>
        </w:tc>
        <w:tc>
          <w:tcPr>
            <w:tcW w:w="3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Purpose</w:t>
            </w:r>
          </w:p>
        </w:tc>
        <w:tc>
          <w:tcPr>
            <w:tcW w:w="120" w:type="dxa"/>
            <w:tcBorders/>
            <w:vAlign w:val="center"/>
          </w:tcPr>
          <w:p>
            <w:pPr>
              <w:pStyle w:val="TableContents"/>
              <w:bidi w:val="0"/>
              <w:spacing w:before="0" w:after="283"/>
              <w:jc w:val="left"/>
              <w:rPr/>
            </w:pPr>
            <w:r>
              <w:rPr/>
              <w:t>  </w:t>
            </w:r>
          </w:p>
        </w:tc>
        <w:tc>
          <w:tcPr>
            <w:tcW w:w="2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Characteristics</w:t>
            </w:r>
          </w:p>
        </w:tc>
        <w:tc>
          <w:tcPr>
            <w:tcW w:w="120" w:type="dxa"/>
            <w:tcBorders/>
            <w:vAlign w:val="center"/>
          </w:tcPr>
          <w:p>
            <w:pPr>
              <w:pStyle w:val="TableContents"/>
              <w:bidi w:val="0"/>
              <w:spacing w:before="0" w:after="283"/>
              <w:jc w:val="left"/>
              <w:rPr/>
            </w:pPr>
            <w:r>
              <w:rPr/>
              <w:t>  </w:t>
            </w:r>
          </w:p>
        </w:tc>
        <w:tc>
          <w:tcPr>
            <w:tcW w:w="10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Fixed or</w:t>
              <w:br/>
              <w:t>Performance-</w:t>
              <w:br/>
              <w:t>Based</w:t>
            </w:r>
          </w:p>
        </w:tc>
      </w:tr>
      <w:tr>
        <w:trPr/>
        <w:tc>
          <w:tcPr>
            <w:tcW w:w="1984" w:type="dxa"/>
            <w:tcBorders/>
            <w:vAlign w:val="center"/>
          </w:tcPr>
          <w:p>
            <w:pPr>
              <w:pStyle w:val="TableContents"/>
              <w:bidi w:val="0"/>
              <w:spacing w:before="0" w:after="283"/>
              <w:jc w:val="left"/>
              <w:rPr>
                <w:sz w:val="4"/>
                <w:szCs w:val="4"/>
              </w:rPr>
            </w:pPr>
            <w:r>
              <w:rPr>
                <w:sz w:val="4"/>
                <w:szCs w:val="4"/>
              </w:rPr>
            </w:r>
          </w:p>
        </w:tc>
        <w:tc>
          <w:tcPr>
            <w:tcW w:w="4000" w:type="dxa"/>
            <w:gridSpan w:val="2"/>
            <w:tcBorders/>
            <w:vAlign w:val="center"/>
          </w:tcPr>
          <w:p>
            <w:pPr>
              <w:pStyle w:val="TableContents"/>
              <w:bidi w:val="0"/>
              <w:spacing w:before="0" w:after="283"/>
              <w:jc w:val="left"/>
              <w:rPr>
                <w:sz w:val="4"/>
                <w:szCs w:val="4"/>
              </w:rPr>
            </w:pPr>
            <w:r>
              <w:rPr>
                <w:sz w:val="4"/>
                <w:szCs w:val="4"/>
              </w:rPr>
            </w:r>
          </w:p>
        </w:tc>
        <w:tc>
          <w:tcPr>
            <w:tcW w:w="3060"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r>
      <w:tr>
        <w:trPr/>
        <w:tc>
          <w:tcPr>
            <w:tcW w:w="1984" w:type="dxa"/>
            <w:tcBorders/>
            <w:vAlign w:val="center"/>
          </w:tcPr>
          <w:p>
            <w:pPr>
              <w:pStyle w:val="TableContents"/>
              <w:bidi w:val="0"/>
              <w:spacing w:before="0" w:after="283"/>
              <w:jc w:val="left"/>
              <w:rPr>
                <w:b/>
              </w:rPr>
            </w:pPr>
            <w:r>
              <w:rPr>
                <w:b/>
              </w:rPr>
              <w:t>Health/Welfare Plans and Retirement Benefits</w:t>
            </w:r>
          </w:p>
        </w:tc>
        <w:tc>
          <w:tcPr>
            <w:tcW w:w="120" w:type="dxa"/>
            <w:tcBorders/>
            <w:vAlign w:val="center"/>
          </w:tcPr>
          <w:p>
            <w:pPr>
              <w:pStyle w:val="TableContents"/>
              <w:bidi w:val="0"/>
              <w:spacing w:before="0" w:after="283"/>
              <w:jc w:val="left"/>
              <w:rPr/>
            </w:pPr>
            <w:r>
              <w:rPr/>
              <w:t>  </w:t>
            </w:r>
          </w:p>
        </w:tc>
        <w:tc>
          <w:tcPr>
            <w:tcW w:w="3880" w:type="dxa"/>
            <w:tcBorders/>
            <w:vAlign w:val="center"/>
          </w:tcPr>
          <w:p>
            <w:pPr>
              <w:pStyle w:val="TableContents"/>
              <w:bidi w:val="0"/>
              <w:spacing w:before="0" w:after="283"/>
              <w:jc w:val="left"/>
              <w:rPr/>
            </w:pPr>
            <w:r>
              <w:rPr/>
              <w:t>Provide competitive benefits that promote employee health and productivity and support longer-term physical and fiscal security</w:t>
            </w:r>
          </w:p>
        </w:tc>
        <w:tc>
          <w:tcPr>
            <w:tcW w:w="120" w:type="dxa"/>
            <w:tcBorders/>
            <w:vAlign w:val="center"/>
          </w:tcPr>
          <w:p>
            <w:pPr>
              <w:pStyle w:val="TableContents"/>
              <w:bidi w:val="0"/>
              <w:spacing w:before="0" w:after="283"/>
              <w:jc w:val="left"/>
              <w:rPr/>
            </w:pPr>
            <w:r>
              <w:rPr/>
              <w:t>  </w:t>
            </w:r>
          </w:p>
        </w:tc>
        <w:tc>
          <w:tcPr>
            <w:tcW w:w="2940" w:type="dxa"/>
            <w:tcBorders/>
            <w:vAlign w:val="center"/>
          </w:tcPr>
          <w:p>
            <w:pPr>
              <w:pStyle w:val="TableContents"/>
              <w:bidi w:val="0"/>
              <w:spacing w:before="0" w:after="283"/>
              <w:jc w:val="left"/>
              <w:rPr/>
            </w:pPr>
            <w:r>
              <w:rPr/>
              <w:t>Similar to benefits offered to other employees</w:t>
            </w:r>
          </w:p>
        </w:tc>
        <w:tc>
          <w:tcPr>
            <w:tcW w:w="12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center"/>
              <w:rPr/>
            </w:pPr>
            <w:r>
              <w:rPr/>
              <w:t>Fixed</w:t>
            </w:r>
          </w:p>
        </w:tc>
      </w:tr>
      <w:tr>
        <w:trPr/>
        <w:tc>
          <w:tcPr>
            <w:tcW w:w="1984" w:type="dxa"/>
            <w:tcBorders/>
            <w:shd w:fill="ABD8EA" w:val="clear"/>
            <w:vAlign w:val="center"/>
          </w:tcPr>
          <w:p>
            <w:pPr>
              <w:pStyle w:val="TableContents"/>
              <w:bidi w:val="0"/>
              <w:spacing w:before="0" w:after="283"/>
              <w:jc w:val="left"/>
              <w:rPr>
                <w:sz w:val="4"/>
                <w:szCs w:val="4"/>
              </w:rPr>
            </w:pPr>
            <w:r>
              <w:rPr>
                <w:sz w:val="4"/>
                <w:szCs w:val="4"/>
              </w:rPr>
            </w:r>
          </w:p>
        </w:tc>
        <w:tc>
          <w:tcPr>
            <w:tcW w:w="4000" w:type="dxa"/>
            <w:gridSpan w:val="2"/>
            <w:tcBorders/>
            <w:shd w:fill="ABD8EA" w:val="clear"/>
            <w:vAlign w:val="center"/>
          </w:tcPr>
          <w:p>
            <w:pPr>
              <w:pStyle w:val="TableContents"/>
              <w:bidi w:val="0"/>
              <w:spacing w:before="0" w:after="283"/>
              <w:jc w:val="left"/>
              <w:rPr>
                <w:sz w:val="4"/>
                <w:szCs w:val="4"/>
              </w:rPr>
            </w:pPr>
            <w:r>
              <w:rPr>
                <w:sz w:val="4"/>
                <w:szCs w:val="4"/>
              </w:rPr>
            </w:r>
          </w:p>
        </w:tc>
        <w:tc>
          <w:tcPr>
            <w:tcW w:w="3060" w:type="dxa"/>
            <w:gridSpan w:val="2"/>
            <w:tcBorders/>
            <w:shd w:fill="ABD8EA" w:val="clear"/>
            <w:vAlign w:val="center"/>
          </w:tcPr>
          <w:p>
            <w:pPr>
              <w:pStyle w:val="TableContents"/>
              <w:bidi w:val="0"/>
              <w:spacing w:before="0" w:after="283"/>
              <w:jc w:val="left"/>
              <w:rPr>
                <w:sz w:val="4"/>
                <w:szCs w:val="4"/>
              </w:rPr>
            </w:pPr>
            <w:r>
              <w:rPr>
                <w:sz w:val="4"/>
                <w:szCs w:val="4"/>
              </w:rPr>
            </w:r>
          </w:p>
        </w:tc>
        <w:tc>
          <w:tcPr>
            <w:tcW w:w="1161" w:type="dxa"/>
            <w:gridSpan w:val="2"/>
            <w:tcBorders/>
            <w:shd w:fill="ABD8EA" w:val="clear"/>
            <w:vAlign w:val="center"/>
          </w:tcPr>
          <w:p>
            <w:pPr>
              <w:pStyle w:val="TableContents"/>
              <w:bidi w:val="0"/>
              <w:spacing w:before="0" w:after="283"/>
              <w:jc w:val="left"/>
              <w:rPr>
                <w:sz w:val="4"/>
                <w:szCs w:val="4"/>
              </w:rPr>
            </w:pPr>
            <w:r>
              <w:rPr>
                <w:sz w:val="4"/>
                <w:szCs w:val="4"/>
              </w:rPr>
            </w:r>
          </w:p>
        </w:tc>
      </w:tr>
      <w:tr>
        <w:trPr/>
        <w:tc>
          <w:tcPr>
            <w:tcW w:w="1984" w:type="dxa"/>
            <w:tcBorders/>
            <w:shd w:fill="ABD8EA" w:val="clear"/>
            <w:vAlign w:val="center"/>
          </w:tcPr>
          <w:p>
            <w:pPr>
              <w:pStyle w:val="TableContents"/>
              <w:bidi w:val="0"/>
              <w:spacing w:before="0" w:after="283"/>
              <w:jc w:val="left"/>
              <w:rPr>
                <w:b/>
              </w:rPr>
            </w:pPr>
            <w:r>
              <w:rPr>
                <w:b/>
              </w:rPr>
              <w:t>Perquisites</w:t>
            </w:r>
          </w:p>
        </w:tc>
        <w:tc>
          <w:tcPr>
            <w:tcW w:w="120" w:type="dxa"/>
            <w:tcBorders/>
            <w:shd w:fill="ABD8EA" w:val="clear"/>
            <w:vAlign w:val="center"/>
          </w:tcPr>
          <w:p>
            <w:pPr>
              <w:pStyle w:val="TableContents"/>
              <w:bidi w:val="0"/>
              <w:spacing w:before="0" w:after="283"/>
              <w:jc w:val="left"/>
              <w:rPr/>
            </w:pPr>
            <w:r>
              <w:rPr/>
              <w:t>  </w:t>
            </w:r>
          </w:p>
        </w:tc>
        <w:tc>
          <w:tcPr>
            <w:tcW w:w="3880" w:type="dxa"/>
            <w:tcBorders/>
            <w:shd w:fill="ABD8EA" w:val="clear"/>
            <w:vAlign w:val="center"/>
          </w:tcPr>
          <w:p>
            <w:pPr>
              <w:pStyle w:val="TableContents"/>
              <w:bidi w:val="0"/>
              <w:spacing w:before="0" w:after="283"/>
              <w:jc w:val="left"/>
              <w:rPr/>
            </w:pPr>
            <w:r>
              <w:rPr/>
              <w:t>Provide limited personal benefits that are consistent with our overall philosophy and objective to attract and retain superior executive talent</w:t>
            </w:r>
          </w:p>
        </w:tc>
        <w:tc>
          <w:tcPr>
            <w:tcW w:w="120" w:type="dxa"/>
            <w:tcBorders/>
            <w:shd w:fill="ABD8EA" w:val="clear"/>
            <w:vAlign w:val="center"/>
          </w:tcPr>
          <w:p>
            <w:pPr>
              <w:pStyle w:val="TableContents"/>
              <w:bidi w:val="0"/>
              <w:spacing w:before="0" w:after="283"/>
              <w:jc w:val="left"/>
              <w:rPr/>
            </w:pPr>
            <w:r>
              <w:rPr/>
              <w:t>  </w:t>
            </w:r>
          </w:p>
        </w:tc>
        <w:tc>
          <w:tcPr>
            <w:tcW w:w="2940" w:type="dxa"/>
            <w:tcBorders/>
            <w:shd w:fill="ABD8EA" w:val="clear"/>
            <w:vAlign w:val="center"/>
          </w:tcPr>
          <w:p>
            <w:pPr>
              <w:pStyle w:val="TableContents"/>
              <w:bidi w:val="0"/>
              <w:spacing w:before="0" w:after="283"/>
              <w:jc w:val="left"/>
              <w:rPr/>
            </w:pPr>
            <w:r>
              <w:rPr/>
              <w:t>Limited personal use of the corporate aircraft for our President and Chief Executive Officer only</w:t>
            </w:r>
          </w:p>
        </w:tc>
        <w:tc>
          <w:tcPr>
            <w:tcW w:w="120" w:type="dxa"/>
            <w:tcBorders/>
            <w:shd w:fill="ABD8EA" w:val="clear"/>
            <w:vAlign w:val="center"/>
          </w:tcPr>
          <w:p>
            <w:pPr>
              <w:pStyle w:val="TableContents"/>
              <w:bidi w:val="0"/>
              <w:spacing w:before="0" w:after="283"/>
              <w:jc w:val="left"/>
              <w:rPr/>
            </w:pPr>
            <w:r>
              <w:rPr/>
              <w:t>  </w:t>
            </w:r>
          </w:p>
        </w:tc>
        <w:tc>
          <w:tcPr>
            <w:tcW w:w="1041" w:type="dxa"/>
            <w:tcBorders/>
            <w:shd w:fill="ABD8EA" w:val="clear"/>
            <w:vAlign w:val="center"/>
          </w:tcPr>
          <w:p>
            <w:pPr>
              <w:pStyle w:val="TableContents"/>
              <w:bidi w:val="0"/>
              <w:spacing w:before="0" w:after="283"/>
              <w:jc w:val="center"/>
              <w:rPr/>
            </w:pPr>
            <w:r>
              <w:rPr/>
              <w:t>Fixed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6"/>
        <w:gridCol w:w="142"/>
        <w:gridCol w:w="873"/>
        <w:gridCol w:w="873"/>
        <w:gridCol w:w="873"/>
        <w:gridCol w:w="873"/>
        <w:gridCol w:w="873"/>
        <w:gridCol w:w="873"/>
        <w:gridCol w:w="873"/>
        <w:gridCol w:w="873"/>
        <w:gridCol w:w="1523"/>
      </w:tblGrid>
      <w:tr>
        <w:trPr/>
        <w:tc>
          <w:tcPr>
            <w:tcW w:w="15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 Year 2025 NEO Target Compensation Structure Summary</w:t>
            </w:r>
          </w:p>
        </w:tc>
      </w:tr>
      <w:tr>
        <w:trPr/>
        <w:tc>
          <w:tcPr>
            <w:tcW w:w="155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Component</w:t>
            </w:r>
          </w:p>
        </w:tc>
        <w:tc>
          <w:tcPr>
            <w:tcW w:w="142" w:type="dxa"/>
            <w:tcBorders/>
            <w:vAlign w:val="center"/>
          </w:tcPr>
          <w:p>
            <w:pPr>
              <w:pStyle w:val="TableContents"/>
              <w:bidi w:val="0"/>
              <w:spacing w:before="0" w:after="283"/>
              <w:jc w:val="left"/>
              <w:rPr/>
            </w:pPr>
            <w:r>
              <w:rPr/>
              <w:t>  </w:t>
            </w:r>
          </w:p>
        </w:tc>
        <w:tc>
          <w:tcPr>
            <w:tcW w:w="8507"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Summary</w:t>
            </w:r>
          </w:p>
        </w:tc>
      </w:tr>
      <w:tr>
        <w:trPr/>
        <w:tc>
          <w:tcPr>
            <w:tcW w:w="1556" w:type="dxa"/>
            <w:tcBorders/>
            <w:shd w:fill="ABD8EA" w:val="clear"/>
            <w:vAlign w:val="center"/>
          </w:tcPr>
          <w:p>
            <w:pPr>
              <w:pStyle w:val="TableContents"/>
              <w:bidi w:val="0"/>
              <w:spacing w:before="0" w:after="283"/>
              <w:jc w:val="left"/>
              <w:rPr>
                <w:sz w:val="4"/>
                <w:szCs w:val="4"/>
              </w:rPr>
            </w:pPr>
            <w:r>
              <w:rPr>
                <w:sz w:val="4"/>
                <w:szCs w:val="4"/>
              </w:rPr>
            </w:r>
          </w:p>
        </w:tc>
        <w:tc>
          <w:tcPr>
            <w:tcW w:w="8649" w:type="dxa"/>
            <w:gridSpan w:val="10"/>
            <w:tcBorders/>
            <w:shd w:fill="ABD8EA" w:val="clear"/>
            <w:vAlign w:val="center"/>
          </w:tcPr>
          <w:p>
            <w:pPr>
              <w:pStyle w:val="TableContents"/>
              <w:bidi w:val="0"/>
              <w:spacing w:before="0" w:after="283"/>
              <w:jc w:val="left"/>
              <w:rPr>
                <w:sz w:val="4"/>
                <w:szCs w:val="4"/>
              </w:rPr>
            </w:pPr>
            <w:r>
              <w:rPr>
                <w:sz w:val="4"/>
                <w:szCs w:val="4"/>
              </w:rPr>
            </w:r>
          </w:p>
        </w:tc>
      </w:tr>
      <w:tr>
        <w:trPr/>
        <w:tc>
          <w:tcPr>
            <w:tcW w:w="1556" w:type="dxa"/>
            <w:tcBorders/>
            <w:shd w:fill="ABD8EA" w:val="clear"/>
            <w:vAlign w:val="center"/>
          </w:tcPr>
          <w:p>
            <w:pPr>
              <w:pStyle w:val="TableContents"/>
              <w:bidi w:val="0"/>
              <w:spacing w:before="0" w:after="283"/>
              <w:jc w:val="left"/>
              <w:rPr>
                <w:b/>
              </w:rPr>
            </w:pPr>
            <w:r>
              <w:rPr>
                <w:b/>
              </w:rPr>
              <w:t>Base Salary</w:t>
            </w:r>
          </w:p>
        </w:tc>
        <w:tc>
          <w:tcPr>
            <w:tcW w:w="142" w:type="dxa"/>
            <w:tcBorders/>
            <w:shd w:fill="ABD8EA" w:val="clear"/>
            <w:vAlign w:val="center"/>
          </w:tcPr>
          <w:p>
            <w:pPr>
              <w:pStyle w:val="TableContents"/>
              <w:bidi w:val="0"/>
              <w:spacing w:before="0" w:after="283"/>
              <w:jc w:val="left"/>
              <w:rPr/>
            </w:pPr>
            <w:r>
              <w:rPr/>
              <w:t>  </w:t>
            </w:r>
          </w:p>
        </w:tc>
        <w:tc>
          <w:tcPr>
            <w:tcW w:w="8507" w:type="dxa"/>
            <w:gridSpan w:val="9"/>
            <w:tcBorders/>
            <w:shd w:fill="ABD8EA"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following salaries were approved for fiscal year 2025, following a thorough review of competitive market practices provided by Aon, our independent compensation consultant. Our NEOs, including Ms. Davenport, were generally below the median of our peer companies and the fiscal year 2025 changes were approved to bring our executive team more in-line with competitive market values. Additionally, with Mr. Vitale transitioning out of an executive role with the Company, Ms. Davenport’s salary reflects her increased responsibilities and expanded executive role.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Ms. Davenport: $950,025 (26.7% increase)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Rode: $525,000 (5% increase)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Cornille: $501,400 (9% increase)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Rosenthal: $470,033 (9.3% increase)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Singh: $440,000 (10% increase)</w:t>
            </w:r>
          </w:p>
        </w:tc>
      </w:tr>
      <w:tr>
        <w:trPr/>
        <w:tc>
          <w:tcPr>
            <w:tcW w:w="1556" w:type="dxa"/>
            <w:tcBorders/>
            <w:vAlign w:val="center"/>
          </w:tcPr>
          <w:p>
            <w:pPr>
              <w:pStyle w:val="TableContents"/>
              <w:bidi w:val="0"/>
              <w:spacing w:before="0" w:after="283"/>
              <w:jc w:val="left"/>
              <w:rPr>
                <w:sz w:val="4"/>
                <w:szCs w:val="4"/>
              </w:rPr>
            </w:pPr>
            <w:r>
              <w:rPr>
                <w:sz w:val="4"/>
                <w:szCs w:val="4"/>
              </w:rPr>
            </w:r>
          </w:p>
        </w:tc>
        <w:tc>
          <w:tcPr>
            <w:tcW w:w="8649" w:type="dxa"/>
            <w:gridSpan w:val="10"/>
            <w:tcBorders/>
            <w:vAlign w:val="center"/>
          </w:tcPr>
          <w:p>
            <w:pPr>
              <w:pStyle w:val="TableContents"/>
              <w:bidi w:val="0"/>
              <w:spacing w:before="0" w:after="283"/>
              <w:jc w:val="left"/>
              <w:rPr>
                <w:sz w:val="4"/>
                <w:szCs w:val="4"/>
              </w:rPr>
            </w:pPr>
            <w:r>
              <w:rPr>
                <w:sz w:val="4"/>
                <w:szCs w:val="4"/>
              </w:rPr>
            </w:r>
          </w:p>
        </w:tc>
      </w:tr>
      <w:tr>
        <w:trPr/>
        <w:tc>
          <w:tcPr>
            <w:tcW w:w="155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Target Annual Bonus</w:t>
            </w:r>
          </w:p>
          <w:p>
            <w:pPr>
              <w:pStyle w:val="TableContents"/>
              <w:bidi w:val="0"/>
              <w:spacing w:before="0" w:after="0"/>
              <w:jc w:val="left"/>
              <w:rPr>
                <w:rFonts w:ascii="Times New Roman" w:hAnsi="Times New Roman"/>
                <w:i/>
                <w:sz w:val="20"/>
              </w:rPr>
            </w:pPr>
            <w:r>
              <w:rPr>
                <w:rFonts w:ascii="Times New Roman" w:hAnsi="Times New Roman"/>
                <w:i/>
                <w:sz w:val="20"/>
              </w:rPr>
              <w:t>(Senior Management</w:t>
            </w:r>
          </w:p>
          <w:p>
            <w:pPr>
              <w:pStyle w:val="TableContents"/>
              <w:bidi w:val="0"/>
              <w:spacing w:before="0" w:after="20"/>
              <w:jc w:val="left"/>
              <w:rPr>
                <w:rFonts w:ascii="Times New Roman" w:hAnsi="Times New Roman"/>
                <w:i/>
                <w:sz w:val="20"/>
              </w:rPr>
            </w:pPr>
            <w:r>
              <w:rPr>
                <w:rFonts w:ascii="Times New Roman" w:hAnsi="Times New Roman"/>
                <w:i/>
                <w:sz w:val="20"/>
              </w:rPr>
              <w:t>Bonus Program)</w:t>
            </w:r>
          </w:p>
        </w:tc>
        <w:tc>
          <w:tcPr>
            <w:tcW w:w="142" w:type="dxa"/>
            <w:tcBorders/>
            <w:vAlign w:val="center"/>
          </w:tcPr>
          <w:p>
            <w:pPr>
              <w:pStyle w:val="TableContents"/>
              <w:bidi w:val="0"/>
              <w:spacing w:before="0" w:after="283"/>
              <w:jc w:val="left"/>
              <w:rPr/>
            </w:pPr>
            <w:r>
              <w:rPr/>
              <w:t>  </w:t>
            </w:r>
          </w:p>
        </w:tc>
        <w:tc>
          <w:tcPr>
            <w:tcW w:w="8507" w:type="dxa"/>
            <w:gridSpan w:val="9"/>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Our NEOs’ target bonuses as a percent of base salary were reviewed against competitive external market data provided by Aon, and our objective for internal consistency for senior management roles. The following target bonus opportunities were approved for fiscal year 2025:</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Ms. Davenport: 125% of base salary (no change)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Rode: 75% of base salary (no change)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Cornille: 75% of base salary (no change)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Rosenthal: 65% of base salary (no change)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Singh: 65% of base salary (increased from 55%)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Senior Management Bonus Program, an executive may earn from 0% to 150% of the target amount based upon the achievement level for the applicable performance metrics.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89"/>
        <w:gridCol w:w="153"/>
        <w:gridCol w:w="844"/>
        <w:gridCol w:w="844"/>
        <w:gridCol w:w="844"/>
        <w:gridCol w:w="844"/>
        <w:gridCol w:w="844"/>
        <w:gridCol w:w="844"/>
        <w:gridCol w:w="844"/>
        <w:gridCol w:w="844"/>
        <w:gridCol w:w="1511"/>
      </w:tblGrid>
      <w:tr>
        <w:trPr/>
        <w:tc>
          <w:tcPr>
            <w:tcW w:w="17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 Year 2025 NEO Target Compensation Structure Summary</w:t>
            </w:r>
          </w:p>
        </w:tc>
      </w:tr>
      <w:tr>
        <w:trPr/>
        <w:tc>
          <w:tcPr>
            <w:tcW w:w="17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Component</w:t>
            </w:r>
          </w:p>
        </w:tc>
        <w:tc>
          <w:tcPr>
            <w:tcW w:w="153" w:type="dxa"/>
            <w:tcBorders/>
            <w:vAlign w:val="center"/>
          </w:tcPr>
          <w:p>
            <w:pPr>
              <w:pStyle w:val="TableContents"/>
              <w:bidi w:val="0"/>
              <w:spacing w:before="0" w:after="283"/>
              <w:jc w:val="left"/>
              <w:rPr/>
            </w:pPr>
            <w:r>
              <w:rPr/>
              <w:t>  </w:t>
            </w:r>
          </w:p>
        </w:tc>
        <w:tc>
          <w:tcPr>
            <w:tcW w:w="8263"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Summary</w:t>
            </w:r>
          </w:p>
        </w:tc>
      </w:tr>
      <w:tr>
        <w:trPr/>
        <w:tc>
          <w:tcPr>
            <w:tcW w:w="1789" w:type="dxa"/>
            <w:tcBorders/>
            <w:vAlign w:val="center"/>
          </w:tcPr>
          <w:p>
            <w:pPr>
              <w:pStyle w:val="TableContents"/>
              <w:bidi w:val="0"/>
              <w:spacing w:before="0" w:after="283"/>
              <w:jc w:val="left"/>
              <w:rPr>
                <w:sz w:val="4"/>
                <w:szCs w:val="4"/>
              </w:rPr>
            </w:pPr>
            <w:r>
              <w:rPr>
                <w:sz w:val="4"/>
                <w:szCs w:val="4"/>
              </w:rPr>
            </w:r>
          </w:p>
        </w:tc>
        <w:tc>
          <w:tcPr>
            <w:tcW w:w="8416" w:type="dxa"/>
            <w:gridSpan w:val="10"/>
            <w:tcBorders/>
            <w:vAlign w:val="center"/>
          </w:tcPr>
          <w:p>
            <w:pPr>
              <w:pStyle w:val="TableContents"/>
              <w:bidi w:val="0"/>
              <w:spacing w:before="0" w:after="283"/>
              <w:jc w:val="left"/>
              <w:rPr>
                <w:sz w:val="4"/>
                <w:szCs w:val="4"/>
              </w:rPr>
            </w:pPr>
            <w:r>
              <w:rPr>
                <w:sz w:val="4"/>
                <w:szCs w:val="4"/>
              </w:rPr>
            </w:r>
          </w:p>
        </w:tc>
      </w:tr>
      <w:tr>
        <w:trPr/>
        <w:tc>
          <w:tcPr>
            <w:tcW w:w="178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Incentives</w:t>
            </w:r>
          </w:p>
        </w:tc>
        <w:tc>
          <w:tcPr>
            <w:tcW w:w="153" w:type="dxa"/>
            <w:tcBorders/>
            <w:vAlign w:val="center"/>
          </w:tcPr>
          <w:p>
            <w:pPr>
              <w:pStyle w:val="TableContents"/>
              <w:bidi w:val="0"/>
              <w:spacing w:before="0" w:after="283"/>
              <w:jc w:val="left"/>
              <w:rPr/>
            </w:pPr>
            <w:r>
              <w:rPr/>
              <w:t>  </w:t>
            </w:r>
          </w:p>
        </w:tc>
        <w:tc>
          <w:tcPr>
            <w:tcW w:w="8263" w:type="dxa"/>
            <w:gridSpan w:val="9"/>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offer a diversity of equity incentive awards linked to increases in stockholder value beyond grant date and relative stock price performance. Our fiscal year 2025 equity grants were weighted 80% PRSU value and 20% RSU value.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PRSU program measures three-year cumulative total stockholder return (TSR) against the Russell 3000 Food Products companies (the same industry classification as BRBR, consisting of 37 companies for the fiscal year 2025 grant). An executive may earn from 0% to 260% of the target amount based upon our TSR achievement level for the performance period.</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Total Compensation Mix </w:t>
      </w:r>
    </w:p>
    <w:p>
      <w:pPr>
        <w:pStyle w:val="TextBody"/>
        <w:bidi w:val="0"/>
        <w:spacing w:before="120" w:after="0"/>
        <w:jc w:val="left"/>
        <w:rPr>
          <w:rFonts w:ascii="Times New Roman" w:hAnsi="Times New Roman"/>
          <w:sz w:val="20"/>
        </w:rPr>
      </w:pPr>
      <w:r>
        <w:rPr>
          <w:rFonts w:ascii="Times New Roman" w:hAnsi="Times New Roman"/>
          <w:sz w:val="20"/>
        </w:rPr>
        <w:t xml:space="preserve">Our mix of total compensation including our regular equity grants, as illustrated by the below charts, is significantly skewed towards performance-based “at-risk” compensation: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75000" cy="197485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1974850"/>
                        </a:xfrm>
                        <a:prstGeom prst="rect"/>
                        <a:solidFill>
                          <a:srgbClr val="FFFFFF"/>
                        </a:solidFill>
                      </wps:spPr>
                      <wps:txbx>
                        <w:txbxContent>
                          <w:p>
                            <w:pPr>
                              <w:pStyle w:val="TextBody"/>
                              <w:bidi w:val="0"/>
                              <w:spacing w:before="0" w:after="0"/>
                              <w:jc w:val="left"/>
                              <w:rPr/>
                            </w:pPr>
                            <w:r>
                              <w:rPr/>
                              <w:drawing>
                                <wp:inline distT="0" distB="0" distL="0" distR="0">
                                  <wp:extent cx="1682115" cy="19418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7"/>
                                          <a:stretch>
                                            <a:fillRect/>
                                          </a:stretch>
                                        </pic:blipFill>
                                        <pic:spPr bwMode="auto">
                                          <a:xfrm>
                                            <a:off x="0" y="0"/>
                                            <a:ext cx="1682115" cy="194183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1682115" cy="194183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1682115" cy="194183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10230" cy="1975485"/>
                <wp:effectExtent l="0" t="0" r="0" b="0"/>
                <wp:wrapSquare wrapText="right"/>
                <wp:docPr id="9" name="Frame1"/>
                <a:graphic xmlns:a="http://schemas.openxmlformats.org/drawingml/2006/main">
                  <a:graphicData uri="http://schemas.microsoft.com/office/word/2010/wordprocessingShape">
                    <wps:wsp>
                      <wps:cNvSpPr txBox="1"/>
                      <wps:spPr>
                        <a:xfrm>
                          <a:off x="0" y="0"/>
                          <a:ext cx="3110230" cy="1975485"/>
                        </a:xfrm>
                        <a:prstGeom prst="rect"/>
                        <a:solidFill>
                          <a:srgbClr val="FFFFFF"/>
                        </a:solidFill>
                      </wps:spPr>
                      <wps:txbx>
                        <w:txbxContent>
                          <w:p>
                            <w:pPr>
                              <w:pStyle w:val="TextBody"/>
                              <w:bidi w:val="0"/>
                              <w:spacing w:before="0" w:after="0"/>
                              <w:jc w:val="right"/>
                              <w:rPr/>
                            </w:pPr>
                            <w:r>
                              <w:rPr/>
                              <w:drawing>
                                <wp:inline distT="0" distB="0" distL="0" distR="0">
                                  <wp:extent cx="1682115" cy="194246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9"/>
                                          <a:stretch>
                                            <a:fillRect/>
                                          </a:stretch>
                                        </pic:blipFill>
                                        <pic:spPr bwMode="auto">
                                          <a:xfrm>
                                            <a:off x="0" y="0"/>
                                            <a:ext cx="1682115" cy="194246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5.5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right"/>
                        <w:rPr/>
                      </w:pPr>
                      <w:r>
                        <w:rPr/>
                        <w:drawing>
                          <wp:inline distT="0" distB="0" distL="0" distR="0">
                            <wp:extent cx="1682115" cy="194246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0"/>
                                    <a:stretch>
                                      <a:fillRect/>
                                    </a:stretch>
                                  </pic:blipFill>
                                  <pic:spPr bwMode="auto">
                                    <a:xfrm>
                                      <a:off x="0" y="0"/>
                                      <a:ext cx="1682115" cy="194246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Compensation Decision Process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Role of the Corporate Governance and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competitive market data;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chief executive officer’s performance and determining the chief executive officer’s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incentive plan goals, achievement levels, objectives and compensation recommendations for the NEOs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competitiveness of each executive’s total compensation package to ensure that we can attract and retain critical management talent;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any changes to the total compensation programs for the NEOs including, but not limited to, base salary, annual bonuses, long-term incentives and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review and discussion, the Committee or the Board, as applicable, approves the executive compensation of our executive officers. The Committee is supported in its work by our Chief Legal Officer and Senior Vice President, People, as well as the Committee’s independent compensation consultant. In the event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employee becomes an executive officer in the middle of the fiscal year, the Committee approves such executive officer’s compensation on a go-forward basis but does not retroactively approve any compensation or compensation targets previously set for such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For executive officers other than herself, our President and Chief Executive Officer makes pay recommendations to the Committee based on competitive market data and an assessment of individual 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 compensation consultant before making compensation decisions or recommendations to the full Board. No officer participates directly in the final deliberations or determinations regarding his or her own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the Independent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Committee retains the services of Aon’s Talent Solutions Practice, a division of Aon plc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Aon’s specific compensation consultation roles include, but are not limited to, the following: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Committee on director and executive compensation trends and regulatory developments;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 peer group of companies for determining competitive compensation rates;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a total compensation study for executives against peer companies;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advice to the Committee on corporate governance best practices, as well as any other areas of concern or risk;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resource to the Committee chair for meeting agendas and supporting materials in advance of each meeting;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commenting on proxy statement disclosure items; and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Committee on management’s pay recommendations.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Peer Companies and Competitive Market Data </w:t>
      </w:r>
    </w:p>
    <w:p>
      <w:pPr>
        <w:pStyle w:val="TextBody"/>
        <w:bidi w:val="0"/>
        <w:spacing w:before="120" w:after="0"/>
        <w:jc w:val="left"/>
        <w:rPr>
          <w:rFonts w:ascii="Times New Roman" w:hAnsi="Times New Roman"/>
          <w:sz w:val="20"/>
        </w:rPr>
      </w:pPr>
      <w:r>
        <w:rPr>
          <w:rFonts w:ascii="Times New Roman" w:hAnsi="Times New Roman"/>
          <w:sz w:val="20"/>
        </w:rPr>
        <w:t xml:space="preserve">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2025 pay decisions: </w:t>
      </w:r>
    </w:p>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Industry</w:t>
            </w:r>
            <w:r>
              <w:rPr>
                <w:rFonts w:ascii="Times New Roman" w:hAnsi="Times New Roman"/>
                <w:sz w:val="20"/>
              </w:rPr>
              <w:t xml:space="preserve">: similar to BellRing, based on the Industrial Classification Benchmark for the Russell 3000 index;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Company size</w:t>
            </w:r>
            <w:r>
              <w:rPr>
                <w:rFonts w:ascii="Times New Roman" w:hAnsi="Times New Roman"/>
                <w:sz w:val="20"/>
              </w:rPr>
              <w:t xml:space="preserve">: approximately 0.4x to 3x BellRing’s annual revenues, with a secondary focus on market capitalization;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Peers</w:t>
            </w:r>
            <w:r>
              <w:rPr>
                <w:rFonts w:ascii="Times New Roman" w:hAnsi="Times New Roman"/>
                <w:sz w:val="20"/>
              </w:rPr>
              <w:t xml:space="preserve">: companies using BellRing in their compensation peer group;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Peers of peers</w:t>
            </w:r>
            <w:r>
              <w:rPr>
                <w:rFonts w:ascii="Times New Roman" w:hAnsi="Times New Roman"/>
                <w:sz w:val="20"/>
              </w:rPr>
              <w:t xml:space="preserve">: companies used in the peer groups of potential peer companies; and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Competitors</w:t>
            </w:r>
            <w:r>
              <w:rPr>
                <w:rFonts w:ascii="Times New Roman" w:hAnsi="Times New Roman"/>
                <w:sz w:val="20"/>
              </w:rPr>
              <w:t xml:space="preserve">: companies that compete with BellRing for business and management talent.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peer group used to assist with fiscal year 2025 pay decisions consisted of the following 13 companies: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2915"/>
        <w:gridCol w:w="120"/>
        <w:gridCol w:w="3380"/>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B&amp;G Foods, Inc.</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The Hain Celestial Group, Inc.</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Calavo Growers, Inc.</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The Simply Good Foods Company</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Flowers Foods, Inc.</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Treehouse Foods, Inc.</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J&amp;J Snack Foods Corp.</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Utz Brands, Inc.</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Lamb Weston Holdings, Inc.</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WK Kellogg Co.</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Lancaster Colony Corporation</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WW International, Inc.</w:t>
            </w:r>
          </w:p>
        </w:tc>
      </w:tr>
      <w:tr>
        <w:trPr/>
        <w:tc>
          <w:tcPr>
            <w:tcW w:w="291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Medifast, Inc.</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changes were made to the peer group to assist with fiscal year 2025 pay decisions: </w:t>
      </w:r>
    </w:p>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Removed: Hostess Brands, Inc. and Sovos Brands, Inc. due to acquisitions in 2023 and 2024, respectively.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Added: WK Kellogg Co. due to similar industry and annual revenues.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Determination of CEO Compensation </w:t>
      </w:r>
    </w:p>
    <w:p>
      <w:pPr>
        <w:pStyle w:val="TextBody"/>
        <w:bidi w:val="0"/>
        <w:spacing w:before="120" w:after="0"/>
        <w:jc w:val="left"/>
        <w:rPr>
          <w:rFonts w:ascii="Times New Roman" w:hAnsi="Times New Roman"/>
          <w:sz w:val="20"/>
        </w:rPr>
      </w:pPr>
      <w:r>
        <w:rPr>
          <w:rFonts w:ascii="Times New Roman" w:hAnsi="Times New Roman"/>
          <w:sz w:val="20"/>
        </w:rPr>
        <w:t xml:space="preserve">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prior fiscal year incentive compensation payments and current fiscal year target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our executive compensation programs were determined by our Board of Directors, through our Corporate Governance and Compensation Committee. See </w:t>
      </w:r>
      <w:r>
        <w:rPr>
          <w:rFonts w:ascii="Times New Roman" w:hAnsi="Times New Roman"/>
          <w:i/>
          <w:sz w:val="20"/>
        </w:rPr>
        <w:t>Compensation Decision Process</w:t>
      </w:r>
      <w:r>
        <w:rPr>
          <w:rFonts w:ascii="Times New Roman" w:hAnsi="Times New Roman"/>
          <w:sz w:val="20"/>
        </w:rPr>
        <w:t xml:space="preserve"> above 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2025 Compensation Elements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designed to recognize the competitive market, and the NEO’s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salaries were approved for fiscal year 2025, based on a thorough review of competitive market data provided by Aon. In November 2024, Mr. Vitale ceased to serve as Executive Chairman while continuing to serve as Chairman of the Board. With Mr. Vitale transitioning out of an executive role with the Company, Ms. Davenport assumed increased responsibilities, and the Committee determined to increase Ms. Davenport’s salary to reflect her expanded executive role. In addition, our NEOs, including Ms. Davenport, were generally below the median of our peer companies, and the fiscal year 2025 changes were approved to bring our executive team into alignment with the competitive medians: </w:t>
      </w:r>
    </w:p>
    <w:p>
      <w:pPr>
        <w:pStyle w:val="TextBody"/>
        <w:bidi w:val="0"/>
        <w:spacing w:before="0" w:after="0"/>
        <w:jc w:val="left"/>
        <w:rPr/>
      </w:pPr>
      <w:r>
        <w:rPr/>
        <w:t> </w:t>
      </w:r>
    </w:p>
    <w:tbl>
      <w:tblPr>
        <w:tblW w:w="5885" w:type="dxa"/>
        <w:jc w:val="left"/>
        <w:tblInd w:w="0" w:type="dxa"/>
        <w:tblLayout w:type="fixed"/>
        <w:tblCellMar>
          <w:top w:w="0" w:type="dxa"/>
          <w:left w:w="0" w:type="dxa"/>
          <w:bottom w:w="0" w:type="dxa"/>
          <w:right w:w="0" w:type="dxa"/>
        </w:tblCellMar>
      </w:tblPr>
      <w:tblGrid>
        <w:gridCol w:w="1865"/>
        <w:gridCol w:w="120"/>
        <w:gridCol w:w="255"/>
        <w:gridCol w:w="1460"/>
        <w:gridCol w:w="60"/>
        <w:gridCol w:w="120"/>
        <w:gridCol w:w="162"/>
        <w:gridCol w:w="1553"/>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2025</w:t>
              <w:br/>
              <w:t>Base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from</w:t>
              <w:br/>
              <w:t>Fiscal Year 2024</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2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950,025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+26.7</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2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525,000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right"/>
              <w:rPr/>
            </w:pPr>
            <w:r>
              <w:rPr/>
              <w:t>+5.0</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2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501,400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+9.0</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2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470,033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right"/>
              <w:rPr/>
            </w:pPr>
            <w:r>
              <w:rPr/>
              <w:t>+9.3</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2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440,000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(Senior Management Bonus Program) </w:t>
      </w:r>
    </w:p>
    <w:p>
      <w:pPr>
        <w:pStyle w:val="TextBody"/>
        <w:bidi w:val="0"/>
        <w:spacing w:before="120" w:after="0"/>
        <w:jc w:val="left"/>
        <w:rPr>
          <w:rFonts w:ascii="Times New Roman" w:hAnsi="Times New Roman"/>
          <w:sz w:val="20"/>
        </w:rPr>
      </w:pPr>
      <w:r>
        <w:rPr>
          <w:rFonts w:ascii="Times New Roman" w:hAnsi="Times New Roman"/>
          <w:sz w:val="20"/>
        </w:rPr>
        <w:t xml:space="preserve">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the Committee approved Adjusted EBITDA (75%) and Net Revenue (25%) as the performance metrics for both the corporate and Premier Nutrition business unit level. The Compensation Committee believes that using adjusted EBITDA as the primary performance metric for NEO bonuses is important for aligning this incentive with the Company’s growth-oriented strategy. This metric reflects the Company’s commitment to controlling operating costs, enhancing operational efficiency, sustainable growth, and value creation, ensuring that, as the Company drives sales growth, NEOs are rewarded for results that drive long-term stockholder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100% of target annual bonus opportunity may be earned if the participant’s targeted corporate / business unit financial performance is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From 100% to 150% of target annual bonus opportunity may only be earned if both components (Net Revenues and Adjusted EBITDA) of the participant’s targeted corporate / business unit financial performance are achieved. However, all above-target payment opportunities are based solely on BellRing Brands’ overall corporate financial performance achievement.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will result in a lower bonus amount for that performance metric, to the extent discretion is exercised, or no bonus at all. The Committee retains flexibility to make adjustments as needed to incorporate the results of its comprehensive financial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Target award opportunities</w:t>
      </w:r>
      <w:r>
        <w:rPr>
          <w:rFonts w:ascii="Times New Roman" w:hAnsi="Times New Roman"/>
          <w:sz w:val="20"/>
        </w:rPr>
        <w:t xml:space="preserve">: The following target bonuses (as a percentage of base salary) were approved for fiscal year 2025, based on a thorough review of competitive market data provided by Aon and to achieve our objective of internal alignment: </w:t>
      </w:r>
    </w:p>
    <w:p>
      <w:pPr>
        <w:pStyle w:val="TextBody"/>
        <w:bidi w:val="0"/>
        <w:spacing w:before="0" w:after="0"/>
        <w:jc w:val="left"/>
        <w:rPr/>
      </w:pPr>
      <w:r>
        <w:rPr/>
        <w:t> </w:t>
      </w:r>
    </w:p>
    <w:tbl>
      <w:tblPr>
        <w:tblW w:w="5609" w:type="dxa"/>
        <w:jc w:val="left"/>
        <w:tblInd w:w="0" w:type="dxa"/>
        <w:tblLayout w:type="fixed"/>
        <w:tblCellMar>
          <w:top w:w="0" w:type="dxa"/>
          <w:left w:w="0" w:type="dxa"/>
          <w:bottom w:w="0" w:type="dxa"/>
          <w:right w:w="0" w:type="dxa"/>
        </w:tblCellMar>
      </w:tblPr>
      <w:tblGrid>
        <w:gridCol w:w="1865"/>
        <w:gridCol w:w="120"/>
        <w:gridCol w:w="188"/>
        <w:gridCol w:w="1196"/>
        <w:gridCol w:w="60"/>
        <w:gridCol w:w="120"/>
        <w:gridCol w:w="60"/>
        <w:gridCol w:w="1925"/>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2025 Target</w:t>
              <w:br/>
              <w:t>(% of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Comments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No change</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No change</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No change</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right"/>
              <w:rPr/>
            </w:pPr>
            <w:r>
              <w:rPr/>
              <w:t>No change</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Increased from 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Performance and Payout Curves</w:t>
      </w:r>
      <w:r>
        <w:rPr>
          <w:rFonts w:ascii="Times New Roman" w:hAnsi="Times New Roman"/>
          <w:sz w:val="20"/>
        </w:rPr>
        <w:t xml:space="preserve">: For each performance metric, participants may earn from 50% to 150% of the target bonus attributable to that performance metric based on performance achievement between the threshold and maximum levels. Above-target payments may only be earned if both components (Net Revenues and Adjusted EBITDA) of the participant’s corporate / business unit financial performance goals are achieved, and all above-target payment opportunities are based solely on BellRing Brands’ overall corporate financial performance achievement. Payout opportunities for performance between the threshold, target and maximum levels, calculated separately for each performance metric, are interpolated on a straight-line basis. For business unit level named executive officers, above-target payouts are subject to the business unit achieving at least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or no bonus at all. Ms. Davenport, Mr. Rode, Mr. Cornille, and Mr. Rosenthal are corporate level named executive officers and Mr. Singh is a business unit level named executive officer. </w:t>
      </w:r>
    </w:p>
    <w:p>
      <w:pPr>
        <w:pStyle w:val="TextBody"/>
        <w:bidi w:val="0"/>
        <w:spacing w:before="240" w:after="0"/>
        <w:jc w:val="left"/>
        <w:rPr>
          <w:rFonts w:ascii="Times New Roman" w:hAnsi="Times New Roman"/>
          <w:sz w:val="20"/>
        </w:rPr>
      </w:pPr>
      <w:r>
        <w:rPr>
          <w:rFonts w:ascii="Times New Roman" w:hAnsi="Times New Roman"/>
          <w:sz w:val="20"/>
          <w:u w:val="single"/>
        </w:rPr>
        <w:t>Target and Actual Fiscal Year 2025 performance</w:t>
      </w:r>
      <w:r>
        <w:rPr>
          <w:rFonts w:ascii="Times New Roman" w:hAnsi="Times New Roman"/>
          <w:sz w:val="20"/>
        </w:rPr>
        <w:t xml:space="preserve">: Below are the approved levels, and actual achievement, of corporate and business unit Net Revenue and Adjusted EBITDA for fiscal year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2"/>
        <w:gridCol w:w="60"/>
        <w:gridCol w:w="170"/>
        <w:gridCol w:w="900"/>
        <w:gridCol w:w="60"/>
        <w:gridCol w:w="60"/>
        <w:gridCol w:w="140"/>
        <w:gridCol w:w="740"/>
        <w:gridCol w:w="60"/>
        <w:gridCol w:w="60"/>
        <w:gridCol w:w="170"/>
        <w:gridCol w:w="900"/>
        <w:gridCol w:w="60"/>
        <w:gridCol w:w="60"/>
        <w:gridCol w:w="140"/>
        <w:gridCol w:w="740"/>
        <w:gridCol w:w="60"/>
        <w:gridCol w:w="60"/>
        <w:gridCol w:w="165"/>
        <w:gridCol w:w="1217"/>
        <w:gridCol w:w="291"/>
      </w:tblGrid>
      <w:tr>
        <w:trPr/>
        <w:tc>
          <w:tcPr>
            <w:tcW w:w="40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2" w:type="dxa"/>
            <w:tcBorders>
              <w:bottom w:val="single" w:sz="8" w:space="0" w:color="000000"/>
            </w:tcBorders>
            <w:tcMar>
              <w:bottom w:w="28" w:type="dxa"/>
            </w:tcMar>
            <w:vAlign w:val="center"/>
          </w:tcPr>
          <w:p>
            <w:pPr>
              <w:pStyle w:val="TableContents"/>
              <w:bidi w:val="0"/>
              <w:spacing w:lineRule="atLeast" w:line="142" w:before="0" w:after="20"/>
              <w:jc w:val="center"/>
              <w:rPr>
                <w:rFonts w:ascii="Times New Roman" w:hAnsi="Times New Roman"/>
                <w:b/>
                <w:sz w:val="16"/>
              </w:rPr>
            </w:pPr>
            <w:r>
              <w:rPr>
                <w:rFonts w:ascii="Times New Roman" w:hAnsi="Times New Roman"/>
                <w:b/>
                <w:sz w:val="16"/>
              </w:rPr>
              <w:t>Fiscal Year 2025 Performance Metrics(1)</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Bonus</w:t>
              <w:br/>
              <w:t>Achievement</w:t>
            </w:r>
          </w:p>
        </w:tc>
        <w:tc>
          <w:tcPr>
            <w:tcW w:w="291" w:type="dxa"/>
            <w:tcBorders/>
            <w:vAlign w:val="center"/>
          </w:tcPr>
          <w:p>
            <w:pPr>
              <w:pStyle w:val="TableContents"/>
              <w:bidi w:val="0"/>
              <w:spacing w:before="0" w:after="283"/>
              <w:jc w:val="left"/>
              <w:rPr/>
            </w:pPr>
            <w:r>
              <w:rPr/>
              <w:t> </w:t>
            </w:r>
          </w:p>
        </w:tc>
      </w:tr>
      <w:tr>
        <w:trPr/>
        <w:tc>
          <w:tcPr>
            <w:tcW w:w="4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2" w:type="dxa"/>
            <w:gridSpan w:val="18"/>
            <w:tcBorders/>
            <w:vAlign w:val="center"/>
          </w:tcPr>
          <w:p>
            <w:pPr>
              <w:pStyle w:val="TableContents"/>
              <w:bidi w:val="0"/>
              <w:spacing w:before="0" w:after="283"/>
              <w:jc w:val="center"/>
              <w:rPr>
                <w:b/>
              </w:rPr>
            </w:pPr>
            <w:r>
              <w:rPr>
                <w:b/>
              </w:rPr>
              <w:t>(dollars in millions)</w:t>
            </w:r>
          </w:p>
        </w:tc>
        <w:tc>
          <w:tcPr>
            <w:tcW w:w="291" w:type="dxa"/>
            <w:tcBorders/>
            <w:vAlign w:val="center"/>
          </w:tcPr>
          <w:p>
            <w:pPr>
              <w:pStyle w:val="TableContents"/>
              <w:bidi w:val="0"/>
              <w:spacing w:before="0" w:after="283"/>
              <w:jc w:val="left"/>
              <w:rPr/>
            </w:pPr>
            <w:r>
              <w:rPr/>
              <w:t> </w:t>
            </w:r>
          </w:p>
        </w:tc>
      </w:tr>
      <w:tr>
        <w:trPr/>
        <w:tc>
          <w:tcPr>
            <w:tcW w:w="4092" w:type="dxa"/>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733" w:type="dxa"/>
            <w:gridSpan w:val="4"/>
            <w:tcBorders/>
            <w:vAlign w:val="center"/>
          </w:tcPr>
          <w:p>
            <w:pPr>
              <w:pStyle w:val="TableContents"/>
              <w:bidi w:val="0"/>
              <w:spacing w:before="0" w:after="283"/>
              <w:jc w:val="left"/>
              <w:rPr>
                <w:sz w:val="4"/>
                <w:szCs w:val="4"/>
              </w:rPr>
            </w:pPr>
            <w:r>
              <w:rPr>
                <w:sz w:val="4"/>
                <w:szCs w:val="4"/>
              </w:rPr>
            </w:r>
          </w:p>
        </w:tc>
      </w:tr>
      <w:tr>
        <w:trPr/>
        <w:tc>
          <w:tcPr>
            <w:tcW w:w="40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25% Net Revenue — BellRing (Corporate)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2,252.4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2,430.2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2,316.6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77.1</w:t>
            </w:r>
          </w:p>
        </w:tc>
        <w:tc>
          <w:tcPr>
            <w:tcW w:w="291" w:type="dxa"/>
            <w:tcBorders/>
            <w:shd w:fill="CCEEFF" w:val="clear"/>
            <w:vAlign w:val="center"/>
          </w:tcPr>
          <w:p>
            <w:pPr>
              <w:pStyle w:val="TableContents"/>
              <w:bidi w:val="0"/>
              <w:spacing w:before="0" w:after="283"/>
              <w:jc w:val="left"/>
              <w:rPr/>
            </w:pPr>
            <w:r>
              <w:rPr/>
              <w:t>% </w:t>
            </w:r>
          </w:p>
        </w:tc>
      </w:tr>
      <w:tr>
        <w:trPr/>
        <w:tc>
          <w:tcPr>
            <w:tcW w:w="4092" w:type="dxa"/>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733" w:type="dxa"/>
            <w:gridSpan w:val="4"/>
            <w:tcBorders/>
            <w:vAlign w:val="center"/>
          </w:tcPr>
          <w:p>
            <w:pPr>
              <w:pStyle w:val="TableContents"/>
              <w:bidi w:val="0"/>
              <w:spacing w:before="0" w:after="283"/>
              <w:jc w:val="left"/>
              <w:rPr>
                <w:sz w:val="4"/>
                <w:szCs w:val="4"/>
              </w:rPr>
            </w:pPr>
            <w:r>
              <w:rPr>
                <w:sz w:val="4"/>
                <w:szCs w:val="4"/>
              </w:rPr>
            </w:r>
          </w:p>
        </w:tc>
      </w:tr>
      <w:tr>
        <w:trPr/>
        <w:tc>
          <w:tcPr>
            <w:tcW w:w="4092"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75% Adjusted EBITDA — BellRing (Corporate)(2)</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460.8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509.3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481.6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92.9</w:t>
            </w:r>
          </w:p>
        </w:tc>
        <w:tc>
          <w:tcPr>
            <w:tcW w:w="291" w:type="dxa"/>
            <w:tcBorders/>
            <w:vAlign w:val="center"/>
          </w:tcPr>
          <w:p>
            <w:pPr>
              <w:pStyle w:val="TableContents"/>
              <w:bidi w:val="0"/>
              <w:spacing w:before="0" w:after="283"/>
              <w:jc w:val="left"/>
              <w:rPr/>
            </w:pPr>
            <w:r>
              <w:rPr/>
              <w:t>% </w:t>
            </w:r>
          </w:p>
        </w:tc>
      </w:tr>
      <w:tr>
        <w:trPr/>
        <w:tc>
          <w:tcPr>
            <w:tcW w:w="4092" w:type="dxa"/>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733" w:type="dxa"/>
            <w:gridSpan w:val="4"/>
            <w:tcBorders/>
            <w:vAlign w:val="center"/>
          </w:tcPr>
          <w:p>
            <w:pPr>
              <w:pStyle w:val="TableContents"/>
              <w:bidi w:val="0"/>
              <w:spacing w:before="0" w:after="283"/>
              <w:jc w:val="left"/>
              <w:rPr>
                <w:sz w:val="4"/>
                <w:szCs w:val="4"/>
              </w:rPr>
            </w:pPr>
            <w:r>
              <w:rPr>
                <w:sz w:val="4"/>
                <w:szCs w:val="4"/>
              </w:rPr>
            </w:r>
          </w:p>
        </w:tc>
      </w:tr>
      <w:tr>
        <w:trPr/>
        <w:tc>
          <w:tcPr>
            <w:tcW w:w="40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25% Net Revenue — Premier Nutrition (Business Unit)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2.289.7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2,346.9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2,232.2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74.9</w:t>
            </w:r>
          </w:p>
        </w:tc>
        <w:tc>
          <w:tcPr>
            <w:tcW w:w="291" w:type="dxa"/>
            <w:tcBorders/>
            <w:shd w:fill="CCEEFF" w:val="clear"/>
            <w:vAlign w:val="center"/>
          </w:tcPr>
          <w:p>
            <w:pPr>
              <w:pStyle w:val="TableContents"/>
              <w:bidi w:val="0"/>
              <w:spacing w:before="0" w:after="283"/>
              <w:jc w:val="left"/>
              <w:rPr/>
            </w:pPr>
            <w:r>
              <w:rPr/>
              <w:t>% </w:t>
            </w:r>
          </w:p>
        </w:tc>
      </w:tr>
      <w:tr>
        <w:trPr/>
        <w:tc>
          <w:tcPr>
            <w:tcW w:w="4092" w:type="dxa"/>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733" w:type="dxa"/>
            <w:gridSpan w:val="4"/>
            <w:tcBorders/>
            <w:vAlign w:val="center"/>
          </w:tcPr>
          <w:p>
            <w:pPr>
              <w:pStyle w:val="TableContents"/>
              <w:bidi w:val="0"/>
              <w:spacing w:before="0" w:after="283"/>
              <w:jc w:val="left"/>
              <w:rPr>
                <w:sz w:val="4"/>
                <w:szCs w:val="4"/>
              </w:rPr>
            </w:pPr>
            <w:r>
              <w:rPr>
                <w:sz w:val="4"/>
                <w:szCs w:val="4"/>
              </w:rPr>
            </w:r>
          </w:p>
        </w:tc>
      </w:tr>
      <w:tr>
        <w:trPr/>
        <w:tc>
          <w:tcPr>
            <w:tcW w:w="4092"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75% Adjusted EBITDA — Premier Nutrition (Business Unit)(3)</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479.4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529.8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98.9</w:t>
            </w:r>
          </w:p>
        </w:tc>
        <w:tc>
          <w:tcPr>
            <w:tcW w:w="29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505" w:type="dxa"/>
        <w:jc w:val="left"/>
        <w:tblInd w:w="0" w:type="dxa"/>
        <w:tblLayout w:type="fixed"/>
        <w:tblCellMar>
          <w:top w:w="0" w:type="dxa"/>
          <w:left w:w="0" w:type="dxa"/>
          <w:bottom w:w="0" w:type="dxa"/>
          <w:right w:w="0" w:type="dxa"/>
        </w:tblCellMar>
      </w:tblPr>
      <w:tblGrid>
        <w:gridCol w:w="305"/>
        <w:gridCol w:w="9200"/>
      </w:tblGrid>
      <w:tr>
        <w:trPr/>
        <w:tc>
          <w:tcPr>
            <w:tcW w:w="305" w:type="dxa"/>
            <w:tcBorders/>
            <w:vAlign w:val="center"/>
          </w:tcPr>
          <w:p>
            <w:pPr>
              <w:pStyle w:val="TableContents"/>
              <w:bidi w:val="0"/>
              <w:spacing w:before="0" w:after="283"/>
              <w:jc w:val="left"/>
              <w:rPr/>
            </w:pPr>
            <w:r>
              <w:rPr/>
              <w:t>(1)</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evaluating financial goals/results, the Committee generally excludes non-recurring or extraordinary items.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EBITDA-BellRing (Corporate) is a non-GAAP measure which represents the consolidated net earnings of the Company from the Company’s Annual Report on Form 10-K, excluding income tax expense, net interest expense, depreciation and amortization, non-cash stock-based compensation, mark-to-market adjustments on commodity hedges, provision for legal matters and foreign currency gain/loss on intercompany loans. See “Explanation and Reconciliation of Non-GAAP Measures” beginning on page 9 of the Company’s earnings release dated November 18, 2025 and furnished as Exhibit 99.1 to the Company’s Current Report on Form 8-K as furnished to the SEC on November 18, 2025. Adjusted EBITDA-BellRing (corporate) is lower than Adjusted EBITDA-Premier Nutrition (Business Unit) as a result of BellRing (Corporate) general overhead expenses without accompanying net revenues.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EBITDA-Premier Nutrition (Business Unit) is a non-GAAP measure which represents the net earnings of the Premier Nutrition business unit, excluding income tax expense, net interest expense, depreciation and amortization, provision for legal matters and intercompany royalty income. We 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EBITDA for the Premier Nutrition business unit is adjusted for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Provision for legal matters</w:t>
            </w:r>
            <w:r>
              <w:rPr>
                <w:rFonts w:ascii="Times New Roman" w:hAnsi="Times New Roman"/>
                <w:sz w:val="20"/>
              </w:rPr>
              <w:t xml:space="preserve">: We have excluded gains and losses recorded to recognize the anticipated or actual resolution of certain litigation as we believe such gains and losses do not reflect expected ongoing future operating income and expenses and do not contribute to a meaningful evaluation of Premier Nutrition business unit’s current operating performance or comparisons of its operating performance to other periods.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Intercompany royalty income</w:t>
            </w:r>
            <w:r>
              <w:rPr>
                <w:rFonts w:ascii="Times New Roman" w:hAnsi="Times New Roman"/>
                <w:sz w:val="20"/>
              </w:rPr>
              <w:t xml:space="preserve">: We have excluded Intercompany Royalty Income received from ANI related to the use of the ‘Premier Protein’ and ‘Dymatize’ brands by ANI, as we believe such income does not contribute to a meaningful evaluation of the Premier Nutrition business unit’s current operating performance or comparisons of its operating performance to other periods.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reconciles Adjusted EBITDA for the Premier Nutrition business unit to the most directly comparable GAAP measure. </w:t>
      </w:r>
    </w:p>
    <w:p>
      <w:pPr>
        <w:pStyle w:val="TextBody"/>
        <w:bidi w:val="0"/>
        <w:spacing w:before="0" w:after="0"/>
        <w:jc w:val="left"/>
        <w:rPr/>
      </w:pPr>
      <w:r>
        <w:rPr/>
        <w:t> </w:t>
      </w:r>
    </w:p>
    <w:tbl>
      <w:tblPr>
        <w:tblW w:w="9150" w:type="dxa"/>
        <w:jc w:val="left"/>
        <w:tblInd w:w="0" w:type="dxa"/>
        <w:tblLayout w:type="fixed"/>
        <w:tblCellMar>
          <w:top w:w="0" w:type="dxa"/>
          <w:left w:w="0" w:type="dxa"/>
          <w:bottom w:w="0" w:type="dxa"/>
          <w:right w:w="0" w:type="dxa"/>
        </w:tblCellMar>
      </w:tblPr>
      <w:tblGrid>
        <w:gridCol w:w="6845"/>
        <w:gridCol w:w="120"/>
        <w:gridCol w:w="403"/>
        <w:gridCol w:w="1612"/>
        <w:gridCol w:w="170"/>
      </w:tblGrid>
      <w:tr>
        <w:trPr/>
        <w:tc>
          <w:tcPr>
            <w:tcW w:w="6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September 30, 2025</w:t>
              <w:br/>
              <w:t>(in millions)</w:t>
            </w:r>
          </w:p>
        </w:tc>
        <w:tc>
          <w:tcPr>
            <w:tcW w:w="17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6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Earnings before Income Taxes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419.2</w:t>
            </w:r>
          </w:p>
        </w:tc>
        <w:tc>
          <w:tcPr>
            <w:tcW w:w="170"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including accelerated depreciation and amortization</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17.4</w:t>
            </w:r>
          </w:p>
        </w:tc>
        <w:tc>
          <w:tcPr>
            <w:tcW w:w="17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6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legal settlements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69.0</w:t>
            </w:r>
          </w:p>
        </w:tc>
        <w:tc>
          <w:tcPr>
            <w:tcW w:w="170"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Intercompany royalty income</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r>
      <w:tr>
        <w:trPr/>
        <w:tc>
          <w:tcPr>
            <w:tcW w:w="6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504.0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its November 2025 meeting, the Committee reviewed and confirmed the Company’s performance for each of the performance metrics. The Committee then determined the achievement percentage associated with each metric by interpolating actual performance within the applicable performance range.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approved fiscal year 2025 performance results above and the results of the Committee’s comprehensive financial review, the Committee approved the following bonus amounts: </w:t>
      </w:r>
    </w:p>
    <w:p>
      <w:pPr>
        <w:pStyle w:val="TextBody"/>
        <w:bidi w:val="0"/>
        <w:spacing w:before="0" w:after="0"/>
        <w:jc w:val="left"/>
        <w:rPr/>
      </w:pPr>
      <w:r>
        <w:rPr/>
        <w:t> </w:t>
      </w:r>
    </w:p>
    <w:tbl>
      <w:tblPr>
        <w:tblW w:w="6739" w:type="dxa"/>
        <w:jc w:val="left"/>
        <w:tblInd w:w="0" w:type="dxa"/>
        <w:tblLayout w:type="fixed"/>
        <w:tblCellMar>
          <w:top w:w="0" w:type="dxa"/>
          <w:left w:w="0" w:type="dxa"/>
          <w:bottom w:w="0" w:type="dxa"/>
          <w:right w:w="0" w:type="dxa"/>
        </w:tblCellMar>
      </w:tblPr>
      <w:tblGrid>
        <w:gridCol w:w="1865"/>
        <w:gridCol w:w="120"/>
        <w:gridCol w:w="192"/>
        <w:gridCol w:w="1223"/>
        <w:gridCol w:w="60"/>
        <w:gridCol w:w="120"/>
        <w:gridCol w:w="169"/>
        <w:gridCol w:w="1245"/>
        <w:gridCol w:w="60"/>
        <w:gridCol w:w="120"/>
        <w:gridCol w:w="186"/>
        <w:gridCol w:w="1304"/>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Target Bonus</w:t>
              <w:br/>
              <w:t>(% of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Actual Bonus</w:t>
              <w:br/>
              <w:t>Earned</w:t>
              <w:br/>
              <w:t>(% of 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Actual</w:t>
              <w:br/>
              <w:t>Bonus Earned</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1,055,715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350,044</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334,309</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271,609</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265,694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 Fiscal Year 2025 Equity Grants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considers both competitive external market data provided by Aon and internal alignment to assist with targeted long-term incentive values. In addition, the Committee considers individual performance, potential future contributions to our business, and recommendations from our President and Chief Executive Officer with respect to the other NEOs. </w:t>
      </w:r>
    </w:p>
    <w:p>
      <w:pPr>
        <w:pStyle w:val="TextBody"/>
        <w:bidi w:val="0"/>
        <w:spacing w:before="240" w:after="0"/>
        <w:jc w:val="left"/>
        <w:rPr>
          <w:rFonts w:ascii="Times New Roman" w:hAnsi="Times New Roman"/>
          <w:sz w:val="20"/>
        </w:rPr>
      </w:pPr>
      <w:r>
        <w:rPr>
          <w:rFonts w:ascii="Times New Roman" w:hAnsi="Times New Roman"/>
          <w:sz w:val="20"/>
        </w:rPr>
        <w:t xml:space="preserve">Our fiscal year 2025 equity grants were heavily weighted on PRSUs with 80% PRSU value and 20% RSU value. The following fiscal year 2025 equity grants were approved: </w:t>
      </w:r>
    </w:p>
    <w:p>
      <w:pPr>
        <w:pStyle w:val="TextBody"/>
        <w:bidi w:val="0"/>
        <w:spacing w:before="0" w:after="0"/>
        <w:jc w:val="left"/>
        <w:rPr/>
      </w:pPr>
      <w:r>
        <w:rPr/>
        <w:t> </w:t>
      </w:r>
    </w:p>
    <w:tbl>
      <w:tblPr>
        <w:tblW w:w="6094" w:type="dxa"/>
        <w:jc w:val="left"/>
        <w:tblInd w:w="0" w:type="dxa"/>
        <w:tblLayout w:type="fixed"/>
        <w:tblCellMar>
          <w:top w:w="0" w:type="dxa"/>
          <w:left w:w="0" w:type="dxa"/>
          <w:bottom w:w="0" w:type="dxa"/>
          <w:right w:w="0" w:type="dxa"/>
        </w:tblCellMar>
      </w:tblPr>
      <w:tblGrid>
        <w:gridCol w:w="1865"/>
        <w:gridCol w:w="120"/>
        <w:gridCol w:w="171"/>
        <w:gridCol w:w="1034"/>
        <w:gridCol w:w="60"/>
        <w:gridCol w:w="120"/>
        <w:gridCol w:w="175"/>
        <w:gridCol w:w="1000"/>
        <w:gridCol w:w="60"/>
        <w:gridCol w:w="120"/>
        <w:gridCol w:w="184"/>
        <w:gridCol w:w="111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2025 PRSU</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Fiscal Year</w:t>
            </w:r>
            <w:r>
              <w:rPr/>
              <w:br/>
            </w:r>
            <w:r>
              <w:rPr>
                <w:b/>
              </w:rPr>
              <w:t>2025 RSU</w:t>
            </w:r>
            <w:r>
              <w:rPr/>
              <w:br/>
            </w:r>
            <w:r>
              <w:rPr>
                <w:b/>
              </w:rPr>
              <w:t>Value</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Fiscal</w:t>
              <w:br/>
              <w:t>Year 2025</w:t>
              <w:br/>
              <w:t>Equity</w:t>
              <w:br/>
              <w:t>Grant Value</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3,520,000</w:t>
            </w:r>
          </w:p>
        </w:tc>
        <w:tc>
          <w:tcPr>
            <w:tcW w:w="60" w:type="dxa"/>
            <w:tcBorders/>
            <w:shd w:fill="CCEEFF" w:val="clear"/>
            <w:vAlign w:val="center"/>
          </w:tcPr>
          <w:p>
            <w:pPr>
              <w:pStyle w:val="TableContents"/>
              <w:bidi w:val="0"/>
              <w:spacing w:lineRule="atLeast" w:line="2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000" w:type="dxa"/>
            <w:tcBorders/>
            <w:shd w:fill="CCEEFF"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880,000</w:t>
            </w:r>
          </w:p>
        </w:tc>
        <w:tc>
          <w:tcPr>
            <w:tcW w:w="60" w:type="dxa"/>
            <w:tcBorders>
              <w:right w:val="single" w:sz="6" w:space="0" w:color="000000"/>
            </w:tcBorders>
            <w:shd w:fill="CCEEFF" w:val="clear"/>
            <w:tcMar>
              <w:right w:w="28" w:type="dxa"/>
            </w:tcMar>
            <w:vAlign w:val="center"/>
          </w:tcPr>
          <w:p>
            <w:pPr>
              <w:pStyle w:val="TableContents"/>
              <w:bidi w:val="0"/>
              <w:spacing w:lineRule="atLeast" w:line="2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110" w:type="dxa"/>
            <w:tcBorders/>
            <w:shd w:fill="CCEEFF"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4,400,000</w:t>
            </w:r>
          </w:p>
        </w:tc>
        <w:tc>
          <w:tcPr>
            <w:tcW w:w="75" w:type="dxa"/>
            <w:tcBorders/>
            <w:shd w:fill="CCEEFF" w:val="clear"/>
            <w:vAlign w:val="center"/>
          </w:tcPr>
          <w:p>
            <w:pPr>
              <w:pStyle w:val="TableContents"/>
              <w:bidi w:val="0"/>
              <w:spacing w:lineRule="atLeast" w:line="280" w:before="0" w:after="0"/>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620,000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155,000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775,000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544,000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136,000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680,000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125,000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10" w:type="dxa"/>
            <w:tcBorders/>
            <w:vAlign w:val="center"/>
          </w:tcPr>
          <w:p>
            <w:pPr>
              <w:pStyle w:val="TableContents"/>
              <w:bidi w:val="0"/>
              <w:spacing w:before="0" w:after="283"/>
              <w:jc w:val="right"/>
              <w:rPr/>
            </w:pPr>
            <w:r>
              <w:rPr/>
              <w:t>625,000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360,000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90,000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450,000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PRSUs</w:t>
      </w:r>
      <w:r>
        <w:rPr>
          <w:rFonts w:ascii="Times New Roman" w:hAnsi="Times New Roman"/>
          <w:sz w:val="20"/>
        </w:rPr>
        <w:t xml:space="preserve">: Our PRSU program measures three-year cumulative TSR performance against the Russell 3000 Food Products companies (37 companies at the beginning of the performance period for the fiscal year 2025 PRSU grant). This program focuses our executives’ behaviors on long-term decision-making that enhances stockholder value. Relative TSR filters out macroeconomic and other factors that are not within management’s control. Each PRSU earned is settled with a share of the Company’s common stock following the completion of the three-year performance period. The Committee determined to set target performance for 2025 PRSU grants at the 50th percentile to align with the Company’s peer group and broader U.S. market practices based on a comprehensive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review by Aon. For the fiscal year 2025 PRSU grants, shares as a percentage of target may be earned on a sliding scale as follows: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0"/>
        <w:gridCol w:w="120"/>
        <w:gridCol w:w="123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BRBR’s Relative</w:t>
            </w:r>
          </w:p>
          <w:p>
            <w:pPr>
              <w:pStyle w:val="TableContents"/>
              <w:bidi w:val="0"/>
              <w:spacing w:before="0" w:after="0"/>
              <w:jc w:val="center"/>
              <w:rPr>
                <w:rFonts w:ascii="Times New Roman" w:hAnsi="Times New Roman"/>
                <w:b/>
                <w:sz w:val="16"/>
              </w:rPr>
            </w:pPr>
            <w:r>
              <w:rPr>
                <w:rFonts w:ascii="Times New Roman" w:hAnsi="Times New Roman"/>
                <w:b/>
                <w:sz w:val="16"/>
              </w:rPr>
              <w:t>3-Year TSR</w:t>
            </w:r>
          </w:p>
          <w:p>
            <w:pPr>
              <w:pStyle w:val="TableContents"/>
              <w:bidi w:val="0"/>
              <w:spacing w:before="0" w:after="20"/>
              <w:jc w:val="center"/>
              <w:rPr>
                <w:rFonts w:ascii="Times New Roman" w:hAnsi="Times New Roman"/>
                <w:b/>
                <w:sz w:val="16"/>
              </w:rPr>
            </w:pPr>
            <w:r>
              <w:rPr>
                <w:rFonts w:ascii="Times New Roman" w:hAnsi="Times New Roman"/>
                <w:b/>
                <w:sz w:val="16"/>
              </w:rPr>
              <w:t>Percentile Rank</w:t>
            </w:r>
          </w:p>
        </w:tc>
        <w:tc>
          <w:tcPr>
            <w:tcW w:w="120"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lineRule="atLeast" w:line="142" w:before="0" w:after="20"/>
              <w:jc w:val="center"/>
              <w:rPr>
                <w:rFonts w:ascii="Times New Roman" w:hAnsi="Times New Roman"/>
                <w:b/>
                <w:sz w:val="16"/>
              </w:rPr>
            </w:pPr>
            <w:r>
              <w:rPr>
                <w:rFonts w:ascii="Times New Roman" w:hAnsi="Times New Roman"/>
                <w:b/>
                <w:sz w:val="16"/>
              </w:rPr>
              <w:t>Vesting(1)</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&gt;85th</w:t>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260% of target</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75th</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200% of target</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50th</w:t>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100% of target</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25th</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50% of target</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&lt;25th</w:t>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0% of target</w:t>
            </w:r>
          </w:p>
        </w:tc>
      </w:tr>
    </w:tbl>
    <w:p>
      <w:pPr>
        <w:pStyle w:val="TextBody"/>
        <w:bidi w:val="0"/>
        <w:spacing w:lineRule="atLeast" w:line="160" w:before="0" w:after="40"/>
        <w:jc w:val="left"/>
        <w:rPr>
          <w:bdr w:val="single" w:sz="2" w:space="1" w:color="000000"/>
        </w:rPr>
      </w:pPr>
      <w:r>
        <w:rPr>
          <w:bdr w:val="single" w:sz="2" w:space="1" w:color="000000"/>
        </w:rPr>
        <w:t> </w:t>
      </w:r>
    </w:p>
    <w:tbl>
      <w:tblPr>
        <w:tblW w:w="5800" w:type="dxa"/>
        <w:jc w:val="left"/>
        <w:tblInd w:w="0" w:type="dxa"/>
        <w:tblLayout w:type="fixed"/>
        <w:tblCellMar>
          <w:top w:w="0" w:type="dxa"/>
          <w:left w:w="0" w:type="dxa"/>
          <w:bottom w:w="0" w:type="dxa"/>
          <w:right w:w="0" w:type="dxa"/>
        </w:tblCellMar>
      </w:tblPr>
      <w:tblGrid>
        <w:gridCol w:w="305"/>
        <w:gridCol w:w="5495"/>
      </w:tblGrid>
      <w:tr>
        <w:trPr/>
        <w:tc>
          <w:tcPr>
            <w:tcW w:w="305" w:type="dxa"/>
            <w:tcBorders/>
            <w:vAlign w:val="center"/>
          </w:tcPr>
          <w:p>
            <w:pPr>
              <w:pStyle w:val="TableContents"/>
              <w:bidi w:val="0"/>
              <w:spacing w:before="0" w:after="283"/>
              <w:jc w:val="left"/>
              <w:rPr/>
            </w:pPr>
            <w:r>
              <w:rPr/>
              <w:t>(1)</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between points is interpolated on a straight-line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bullets summarize the equity grant design parameters: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 period:</w:t>
            </w:r>
            <w:r>
              <w:rPr>
                <w:rFonts w:ascii="Times New Roman" w:hAnsi="Times New Roman"/>
                <w:sz w:val="20"/>
              </w:rPr>
              <w:t xml:space="preserve"> October 1, 2024 through September 30, 2027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 requirements and payout opportunities:</w:t>
            </w:r>
            <w:r>
              <w:rPr>
                <w:rFonts w:ascii="Times New Roman" w:hAnsi="Times New Roman"/>
                <w:sz w:val="20"/>
              </w:rPr>
              <w:t xml:space="preserve"> Please refer to the chart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Peer group: </w:t>
            </w:r>
            <w:r>
              <w:rPr>
                <w:rFonts w:ascii="Times New Roman" w:hAnsi="Times New Roman"/>
                <w:sz w:val="20"/>
              </w:rPr>
              <w:t xml:space="preserve">Russell 3000 Food Products companies; acquired companies are removed from the rankings; bankruptcies are dropped to the bottom ranking.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Beginning and ending values:</w:t>
            </w:r>
            <w:r>
              <w:rPr>
                <w:rFonts w:ascii="Times New Roman" w:hAnsi="Times New Roman"/>
                <w:sz w:val="20"/>
              </w:rPr>
              <w:t xml:space="preserve"> Beginning and ending values are based on the 30-day VWAP immediately prior to and including the first/last day of the performance period to mitigate any short- term swings in stock price at either end.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Re-invested on the ex-dividend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Negative three-year TSR:</w:t>
            </w:r>
            <w:r>
              <w:rPr>
                <w:rFonts w:ascii="Times New Roman" w:hAnsi="Times New Roman"/>
                <w:sz w:val="20"/>
              </w:rPr>
              <w:t xml:space="preserve"> If BellRing has a negative three-year TSR, then payout is capped at 100% of target, regardless of ranking.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Vesting:</w:t>
            </w:r>
            <w:r>
              <w:rPr>
                <w:rFonts w:ascii="Times New Roman" w:hAnsi="Times New Roman"/>
                <w:sz w:val="20"/>
              </w:rPr>
              <w:t xml:space="preserve"> The number of PRSUs awarded in accordance with the sliding scale set forth above will vest following the end of the three-year performance period. No PRSUs will vest during the performance period, with limited exceptions in cases of death, disability or involuntary termination of employment associated with a change in control of the Company (or absent an involuntary termination, failure of the acquirer in a change in control to assume, on substantially the same terms, the PRSUs). </w:t>
            </w:r>
          </w:p>
        </w:tc>
      </w:tr>
    </w:tbl>
    <w:p>
      <w:pPr>
        <w:pStyle w:val="TextBody"/>
        <w:bidi w:val="0"/>
        <w:spacing w:before="240" w:after="0"/>
        <w:jc w:val="left"/>
        <w:rPr>
          <w:rFonts w:ascii="Times New Roman" w:hAnsi="Times New Roman"/>
          <w:sz w:val="20"/>
        </w:rPr>
      </w:pPr>
      <w:r>
        <w:rPr>
          <w:rFonts w:ascii="Times New Roman" w:hAnsi="Times New Roman"/>
          <w:sz w:val="20"/>
          <w:u w:val="single"/>
        </w:rPr>
        <w:t>RSUs</w:t>
      </w:r>
      <w:r>
        <w:rPr>
          <w:rFonts w:ascii="Times New Roman" w:hAnsi="Times New Roman"/>
          <w:sz w:val="20"/>
        </w:rPr>
        <w:t xml:space="preserve">: The value of RSUs provides a base level of retention value as well as incentive for increasing stockholder value. The fiscal year 2025 RSUs vest one-third per year on the first, second and third anniversaries of the grant date. Vesting of RSUs may be accelerated upon the occurrence of certain termination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 November 2022 PRSU Achievement </w:t>
      </w:r>
    </w:p>
    <w:p>
      <w:pPr>
        <w:pStyle w:val="TextBody"/>
        <w:bidi w:val="0"/>
        <w:spacing w:before="120" w:after="0"/>
        <w:jc w:val="left"/>
        <w:rPr>
          <w:rFonts w:ascii="Times New Roman" w:hAnsi="Times New Roman"/>
          <w:sz w:val="20"/>
        </w:rPr>
      </w:pPr>
      <w:r>
        <w:rPr>
          <w:rFonts w:ascii="Times New Roman" w:hAnsi="Times New Roman"/>
          <w:sz w:val="20"/>
        </w:rPr>
        <w:t xml:space="preserve">The fiscal year 2023 PRSU grants measured our TSR ranking versus the Russell 3000 Food Products companies (40 companies at the start of the performance period) for the three-year period of November 11, 2022 through November 11, 2025. The companies in the Russell 3000 Food Products group were established and closed at the start of the performance period. During the performance period, bankruptcies dropped to the bottom ranking and acquisitions were removed from the group. The beginning and ending share price values were based on the 30-day VWAP immediately prior to and including the first/last day of the performance period to mitigate short-term stock price swings on either end.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2023 PRSU grants had a performance/payout scale of 85th percentile ranking (260% of target payout), 75th percentile ranking (200% of target payout), 50th percentile ranking (100% of target payout) and 25th percentile ranking (50% of target payout). Performance between points was interpolated on a straight-line basis. Performance below the 25th percentile ranking would have resulted in a 0% of target payout.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TSR ranking for the three-year performance period was at the 92nd percentile, resulting in an approved payout of 260% of the target number of PRSUs. Each PRSU earned was settled with a share of the Company’s common stock on December 2, 2025. </w:t>
      </w:r>
    </w:p>
    <w:p>
      <w:pPr>
        <w:pStyle w:val="TextBody"/>
        <w:bidi w:val="0"/>
        <w:spacing w:before="360" w:after="0"/>
        <w:jc w:val="left"/>
        <w:rPr>
          <w:rFonts w:ascii="Times New Roman" w:hAnsi="Times New Roman"/>
          <w:b/>
          <w:sz w:val="20"/>
        </w:rPr>
      </w:pPr>
      <w:r>
        <w:rPr>
          <w:rFonts w:ascii="Times New Roman" w:hAnsi="Times New Roman"/>
          <w:b/>
          <w:sz w:val="20"/>
        </w:rPr>
        <w:t xml:space="preserve">Gross-Up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Committee approved and the Company entered into gross-up agreements with each of the named executive officers (each, a “Gross-Up Agreement”). Pursuant to each Gross-Up Agreement, if it is determined that an officer would be subject to the excise tax imposed by Section 4999 of the Internal Revenue Code of 1986, as amended (the “Code”), as a result of any payment in the nature of compensation to or for the benefit of an officer, the Company will pay or caused to be paid to the officer a gross-up payment. The gross-up payment will be in an amount sufficient to put the officer in the same after-tax position as though the excise tax under Section 4999 of the Code did not apply. The Committee determined that the Gross-Up Agreements were in the best interests of the Company and its stockholders because the gross-ups align the officers’ incentives with those of the stockholders during a potential change in control transaction, thereby encouraging objective decision-making about a transaction’s value by eliminating any potential incentive to reject a transaction that is otherwise beneficial for stockholders simply to avoid the significant personal tax penalty.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Other Compensation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stock ownership guidelines applicable to non-employee directors and Section 16 officers. Our Board of Directors believes it is in the best interests of the Company and our stockholders to align the financial interests of Section 16 officers and non-employee directors with those of our stockholders. Our guideline structure is as follows: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Non-Employee and Non-Executive Directors — 5 times annual retainer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President and Chief Executive Officer — 6 times base salary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16 Officers — 2 times base salary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Participants are expected to comply with the ownership requirements within five years of an appointment to a qualified position. As of September 30, 2025, all participants that were not within the five-year timeframe for compliance were in compliance with the ownership requirements. The categories of stock ownership that satisfy the ownership criteria include: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owned directly or indirectly (e.g. by spouse or trust);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unvested time-based RSUs;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represented by amounts invested in the BellRing Brands 401(k)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equivalents, including deferred stock units and deferred compensation, payable under our deferred compensation plan for our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Unvested earned and unvested PRSUs are not included when determining compliance with the guidelines. Additionally, unvested stock options/SARs and vested but unexercised stock options/SARs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common stock. The Committee has the discretion to enforce these stock ownership guidelines on a case-by-case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Recoupment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an executive compensation “clawback” policy in connection with incentive compensation. The clawback policy provides that, in the event the Company is required to prepare an accounting restatement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due to the Company’s material noncompliance with any financial reporting requirement under the securities laws, the Committee, to the extent allowable under applicable law, has the authority to promptly recoup any incentive compensation paid to a current or former executive officer, including Section 16 officers, during the three-year period preceding the restatement if the restatement (1) would result in the payment of a reduced award if the award were recalculated based on the restated results and (2) either (a) corrected a material error in the prior period financial statements, or (b) would constitute a material misstatement if the error was left uncorrected in the current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on Hedging and Pledging Company Stock </w:t>
      </w:r>
    </w:p>
    <w:p>
      <w:pPr>
        <w:pStyle w:val="TextBody"/>
        <w:bidi w:val="0"/>
        <w:spacing w:before="120" w:after="0"/>
        <w:jc w:val="left"/>
        <w:rPr>
          <w:rFonts w:ascii="Times New Roman" w:hAnsi="Times New Roman"/>
          <w:sz w:val="20"/>
        </w:rPr>
      </w:pPr>
      <w:r>
        <w:rPr>
          <w:rFonts w:ascii="Times New Roman" w:hAnsi="Times New Roman"/>
          <w:sz w:val="20"/>
        </w:rPr>
        <w:t xml:space="preserve">We have a policy that prohibits directors and executive officers from engaging in derivative or hedging transactions in the Company’s securities and prohibits pledging of shares by directors and executive officers, including margin accounts. See the section </w:t>
      </w:r>
      <w:r>
        <w:rPr>
          <w:rFonts w:ascii="Times New Roman" w:hAnsi="Times New Roman"/>
          <w:i/>
          <w:sz w:val="20"/>
        </w:rPr>
        <w:t>Corporate Governance — Policy on Hedging and Pledging Company Stock</w:t>
      </w:r>
      <w:r>
        <w:rPr>
          <w:rFonts w:ascii="Times New Roman" w:hAnsi="Times New Roman"/>
          <w:sz w:val="20"/>
        </w:rPr>
        <w:t xml:space="preserve"> on page 11 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The Committee is responsible for overseeing the risks relating to compensation policies and practices affecting senior management on an ongoing basis. The Committee believes our governance policies and compensation structure result in a compensation system that is not reasonably likely to lead to management decisions that would have a material adverse effect on the Company. The following features of our programs mitigate this risk: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Committee retains an independent compensation consultant to assist with annual compensation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Committee approves the Senior Management Bonus Program financial goals at the start of the fiscal year, and approves the performance achievement level and final payments earned after the end of the fiscal year;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fiscal year 2025, the Senior Management Bonus Program capped potential payouts at 150% of the target opportunity;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utilize a mix of cash and equity incentive programs, and all equity awards granted to our named executive officers are subject to multi-year vesting;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utilize a diversity of equity award types;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utilize competitive general and change-in-control severance programs to help ensure executives continue to work towards our stockholders’ best interests in light of potential employment uncertainty;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executives are subject to minimum stock ownership guidelines and limitations on trading in our securities, including prohibitions on hedging and pledging;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incentive clawback policy requires the Company to recoup compensation paid on the basis of financial results that are subsequently restated.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Benefits and Perquisites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Limited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 </w:t>
      </w:r>
    </w:p>
    <w:p>
      <w:pPr>
        <w:pStyle w:val="TextBody"/>
        <w:bidi w:val="0"/>
        <w:spacing w:before="240" w:after="0"/>
        <w:jc w:val="left"/>
        <w:rPr>
          <w:rFonts w:ascii="Times New Roman" w:hAnsi="Times New Roman"/>
          <w:sz w:val="20"/>
        </w:rPr>
      </w:pPr>
      <w:r>
        <w:rPr>
          <w:rFonts w:ascii="Times New Roman" w:hAnsi="Times New Roman"/>
          <w:sz w:val="20"/>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Times New Roman" w:hAnsi="Times New Roman"/>
          <w:i/>
          <w:sz w:val="20"/>
        </w:rPr>
        <w:t xml:space="preserve">Summary Compensation Table </w:t>
      </w:r>
      <w:r>
        <w:rPr>
          <w:rFonts w:ascii="Times New Roman" w:hAnsi="Times New Roman"/>
          <w:sz w:val="20"/>
        </w:rPr>
        <w:t xml:space="preserve">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Limitations on Deductibility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When reviewing compensation matters, the Committee considers the anticipated tax consequences to the Company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Control and Involuntary Termination Treatment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separate Severance and Change in Control Agreements with our named executive officers that provides for certain benefits to our executive officers in the event of an involuntary termination without cause or relating to a change in control or upon an executive officer’s death or disability. We believe these benefits are consistent with the competitive market and are customary among the company’s peers and are fair to the executives and to our stockholders. For more information about potential payments to our named executive officers pursuant to these Severance and Change in Control Agreements, see “Executive Compensation — Potential Payments Upon Termination of Employment or Change in Control.”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for the Fiscal Year Ended September 30, 2025 </w:t>
      </w:r>
    </w:p>
    <w:p>
      <w:pPr>
        <w:pStyle w:val="TextBody"/>
        <w:bidi w:val="0"/>
        <w:spacing w:before="120" w:after="0"/>
        <w:jc w:val="left"/>
        <w:rPr>
          <w:rFonts w:ascii="Times New Roman" w:hAnsi="Times New Roman"/>
          <w:sz w:val="20"/>
        </w:rPr>
      </w:pPr>
      <w:r>
        <w:rPr>
          <w:rFonts w:ascii="Times New Roman" w:hAnsi="Times New Roman"/>
          <w:sz w:val="20"/>
        </w:rPr>
        <w:t xml:space="preserve">In fiscal year 2025, the Committee reviewed competitive peer company board of director compensation market data provided by Aon. For fiscal year 2025, we modified our annual RSU grant to $135,000 and our annual board retainer to $85,000 to maintain a competitive total compensation posture with our industry peers. The chairperson of our Audit Committee received an additional annual retainer of $20,000, and the chairperson of our Corporate Governance and Compensation Committee received an additional annual retainer of $15,000. Other members of our Audit Committee received an additional annual retainer of $10,000, and other members of our Corporate Governance and Compensation Committee received an additional annual retainer of $7,500. The non-executive chairperson of our Board received an annual retainer of $90,000. The independent lead director of our Board received an additional annual retainer of $20,000. </w:t>
      </w:r>
    </w:p>
    <w:p>
      <w:pPr>
        <w:pStyle w:val="TextBody"/>
        <w:bidi w:val="0"/>
        <w:spacing w:before="240" w:after="0"/>
        <w:jc w:val="left"/>
        <w:rPr>
          <w:rFonts w:ascii="Times New Roman" w:hAnsi="Times New Roman"/>
          <w:sz w:val="20"/>
        </w:rPr>
      </w:pPr>
      <w:r>
        <w:rPr>
          <w:rFonts w:ascii="Times New Roman" w:hAnsi="Times New Roman"/>
          <w:sz w:val="20"/>
        </w:rPr>
        <w:t xml:space="preserve">All RSU grants fully vest on the first anniversary of the date of grant. In addition, all awards fully vest at the director’s disability or death. Directors may elect to defer settlement of RSUs until separation from service. </w:t>
      </w:r>
    </w:p>
    <w:p>
      <w:pPr>
        <w:pStyle w:val="TextBody"/>
        <w:bidi w:val="0"/>
        <w:spacing w:before="240" w:after="0"/>
        <w:jc w:val="left"/>
        <w:rPr>
          <w:rFonts w:ascii="Times New Roman" w:hAnsi="Times New Roman"/>
          <w:sz w:val="20"/>
        </w:rPr>
      </w:pPr>
      <w:r>
        <w:rPr>
          <w:rFonts w:ascii="Times New Roman" w:hAnsi="Times New Roman"/>
          <w:sz w:val="20"/>
        </w:rPr>
        <w:t xml:space="preserve">We also pay the premiums on directors’ and officers’ liability and travel accident insurance policies insuring directors. We reimburse directors for their reasonable expenses incurred in connection with attending Board meetings. </w:t>
      </w:r>
    </w:p>
    <w:p>
      <w:pPr>
        <w:pStyle w:val="TextBody"/>
        <w:bidi w:val="0"/>
        <w:spacing w:before="240" w:after="0"/>
        <w:jc w:val="left"/>
        <w:rPr>
          <w:rFonts w:ascii="Times New Roman" w:hAnsi="Times New Roman"/>
          <w:sz w:val="20"/>
        </w:rPr>
      </w:pPr>
      <w:r>
        <w:rPr>
          <w:rFonts w:ascii="Times New Roman" w:hAnsi="Times New Roman"/>
          <w:sz w:val="20"/>
        </w:rPr>
        <w:t xml:space="preserve">Under our Deferred Compensation Plan for Directors,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and 1/3% Company matching contribution, also credited in BellRing common stock equivalents. Balances are paid upon leaving the Board of Directors, generally in cash, in one of three ways: (1) lump sum payout; (2) five-year installments or (3) ten-year installments. </w:t>
      </w:r>
    </w:p>
    <w:p>
      <w:pPr>
        <w:pStyle w:val="TextBody"/>
        <w:bidi w:val="0"/>
        <w:spacing w:before="240" w:after="0"/>
        <w:jc w:val="left"/>
        <w:rPr>
          <w:rFonts w:ascii="Times New Roman" w:hAnsi="Times New Roman"/>
          <w:sz w:val="20"/>
        </w:rPr>
      </w:pPr>
      <w:r>
        <w:rPr>
          <w:rFonts w:ascii="Times New Roman" w:hAnsi="Times New Roman"/>
          <w:sz w:val="20"/>
        </w:rPr>
        <w:t xml:space="preserve">Directors who also are full-time officers or employees of the Company receive no additional compensation for serving as directors. </w:t>
      </w:r>
    </w:p>
    <w:p>
      <w:pPr>
        <w:pStyle w:val="TextBody"/>
        <w:bidi w:val="0"/>
        <w:spacing w:before="240" w:after="0"/>
        <w:jc w:val="left"/>
        <w:rPr>
          <w:rFonts w:ascii="Times New Roman" w:hAnsi="Times New Roman"/>
          <w:sz w:val="20"/>
        </w:rPr>
      </w:pPr>
      <w:r>
        <w:rPr>
          <w:rFonts w:ascii="Times New Roman" w:hAnsi="Times New Roman"/>
          <w:sz w:val="20"/>
        </w:rPr>
        <w:t xml:space="preserve">We maintain stock ownership guidelines applicable to all non-management directors. See </w:t>
      </w:r>
      <w:r>
        <w:rPr>
          <w:rFonts w:ascii="Times New Roman" w:hAnsi="Times New Roman"/>
          <w:i/>
          <w:sz w:val="20"/>
        </w:rPr>
        <w:t>Certain Other</w:t>
      </w:r>
      <w:r>
        <w:rPr>
          <w:rFonts w:ascii="Times New Roman" w:hAnsi="Times New Roman"/>
          <w:sz w:val="20"/>
        </w:rPr>
        <w:t xml:space="preserve"> </w:t>
      </w:r>
      <w:r>
        <w:rPr>
          <w:rFonts w:ascii="Times New Roman" w:hAnsi="Times New Roman"/>
          <w:i/>
          <w:sz w:val="20"/>
        </w:rPr>
        <w:t>Compensation Policies — Stock Ownership Guidelines</w:t>
      </w:r>
      <w:r>
        <w:rPr>
          <w:rFonts w:ascii="Times New Roman" w:hAnsi="Times New Roman"/>
          <w:sz w:val="20"/>
        </w:rPr>
        <w:t xml:space="preserve"> for more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Timing of Compensation Decisions and Equity Grants </w:t>
      </w:r>
    </w:p>
    <w:p>
      <w:pPr>
        <w:pStyle w:val="TextBody"/>
        <w:bidi w:val="0"/>
        <w:spacing w:before="120" w:after="0"/>
        <w:jc w:val="left"/>
        <w:rPr>
          <w:rFonts w:ascii="Times New Roman" w:hAnsi="Times New Roman"/>
          <w:sz w:val="20"/>
        </w:rPr>
      </w:pPr>
      <w:r>
        <w:rPr>
          <w:rFonts w:ascii="Times New Roman" w:hAnsi="Times New Roman"/>
          <w:sz w:val="20"/>
        </w:rPr>
        <w:t xml:space="preserve">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pre-meetings</w:t>
      </w:r>
    </w:p>
    <w:p>
      <w:pPr>
        <w:pStyle w:val="TextBody"/>
        <w:bidi w:val="0"/>
        <w:spacing w:before="120" w:after="0"/>
        <w:jc w:val="left"/>
        <w:rPr>
          <w:rFonts w:ascii="Times New Roman" w:hAnsi="Times New Roman"/>
          <w:sz w:val="20"/>
        </w:rPr>
      </w:pPr>
      <w:r>
        <w:rPr>
          <w:rFonts w:ascii="Times New Roman" w:hAnsi="Times New Roman"/>
          <w:sz w:val="20"/>
        </w:rPr>
        <w:t xml:space="preserve">or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off-cycle</w:t>
      </w:r>
    </w:p>
    <w:p>
      <w:pPr>
        <w:pStyle w:val="TextBody"/>
        <w:bidi w:val="0"/>
        <w:spacing w:before="120" w:after="0"/>
        <w:jc w:val="left"/>
        <w:rPr>
          <w:rFonts w:ascii="Times New Roman" w:hAnsi="Times New Roman"/>
          <w:sz w:val="20"/>
        </w:rPr>
      </w:pPr>
      <w:r>
        <w:rPr>
          <w:rFonts w:ascii="Times New Roman" w:hAnsi="Times New Roman"/>
          <w:sz w:val="20"/>
        </w:rPr>
        <w:t xml:space="preserve">discussions to give thorough consideration to the appropriate amount and structure of compensation for our executives.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Item 402(x)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established clear guidelines regarding the timing of equity grants to ensure transparency and fairness. The Company does not issue stock options. Rather, it grants equity-based compensation in the form of restricted stock units (RSUs), and performance-based restricted stock units (PRSUs) as part of its executive compensation program. The Company adheres to a predictable and structured process for approving and issuing equity awards. Decisions with respect to prior fiscal year performance, as well as annual equity awards, base salary increases and target performance levels for the current fiscal year and beyond, are typically made at the Committee’s first regularly scheduled meeting for the fiscal year, the date of which is set at the beginning of the fiscal year — well in advance of any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240" w:after="0"/>
        <w:jc w:val="left"/>
        <w:rPr>
          <w:rFonts w:ascii="Times New Roman" w:hAnsi="Times New Roman"/>
          <w:sz w:val="20"/>
        </w:rPr>
      </w:pPr>
      <w:r>
        <w:rPr>
          <w:rFonts w:ascii="Times New Roman" w:hAnsi="Times New Roman"/>
          <w:sz w:val="20"/>
        </w:rPr>
        <w:t xml:space="preserve">information disclosure. This practice ensures that grant dates are scheduled well in advance, and the timing of grants is not adjusted based on fluctuations in stock price or pending corporate announcements. Further, any equity awards approved by the Committee at this meeting are dated as of the date of the Committee meeting. As such, the Committee does not time the grants of equity incentives to the release of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240" w:after="0"/>
        <w:jc w:val="left"/>
        <w:rPr>
          <w:rFonts w:ascii="Times New Roman" w:hAnsi="Times New Roman"/>
          <w:sz w:val="20"/>
        </w:rPr>
      </w:pPr>
      <w:r>
        <w:rPr>
          <w:rFonts w:ascii="Times New Roman" w:hAnsi="Times New Roman"/>
          <w:sz w:val="20"/>
        </w:rPr>
        <w:t xml:space="preserve">information. The Company does not reprice or backdate any equity grants. Additionally, no equity awards are made retroactively to avoid any appearance of impropriety or manipulation of award timing. </w:t>
      </w:r>
    </w:p>
    <w:p>
      <w:pPr>
        <w:pStyle w:val="TextBody"/>
        <w:bidi w:val="0"/>
        <w:spacing w:before="240" w:after="0"/>
        <w:jc w:val="left"/>
        <w:rPr>
          <w:rFonts w:ascii="Times New Roman" w:hAnsi="Times New Roman"/>
          <w:sz w:val="20"/>
        </w:rPr>
      </w:pPr>
      <w:r>
        <w:rPr>
          <w:rFonts w:ascii="Times New Roman" w:hAnsi="Times New Roman"/>
          <w:sz w:val="20"/>
        </w:rPr>
        <w:t xml:space="preserve">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in fiscal year 2025.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30979_27"/>
      <w:bookmarkEnd w:id="24"/>
      <w:r>
        <w:rPr>
          <w:rFonts w:ascii="Times New Roman" w:hAnsi="Times New Roman"/>
          <w:b/>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Corporate Governance and Compensation Committee was composed of Messrs. Conway and Erickson and Ms. Kuperman Johnson. There are no relationships involving the members of our Corporate Governance and Compensation Committee or our executive officers that are required to be disclosed under Item 407(e)(4) of Regulation S-K. </w:t>
      </w:r>
    </w:p>
    <w:p>
      <w:pPr>
        <w:pStyle w:val="TextBody"/>
        <w:bidi w:val="0"/>
        <w:spacing w:before="480" w:after="0"/>
        <w:jc w:val="center"/>
        <w:rPr>
          <w:rFonts w:ascii="Times New Roman" w:hAnsi="Times New Roman"/>
          <w:b/>
          <w:sz w:val="20"/>
        </w:rPr>
      </w:pPr>
      <w:bookmarkStart w:id="25" w:name="toc30979_28"/>
      <w:bookmarkEnd w:id="25"/>
      <w:r>
        <w:rPr>
          <w:rFonts w:ascii="Times New Roman" w:hAnsi="Times New Roman"/>
          <w:b/>
          <w:sz w:val="20"/>
        </w:rPr>
        <w:t xml:space="preserve">COMPENSATION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2025 Annual Report). This report is provided by the following independent directors, who comprise all of the members of the Corporate Governance and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Sean W. Conway, </w:t>
      </w:r>
      <w:r>
        <w:rPr>
          <w:rFonts w:ascii="Times New Roman" w:hAnsi="Times New Roman"/>
          <w:i/>
          <w:sz w:val="20"/>
        </w:rPr>
        <w:t>Chairman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Thomas P. Erickson </w:t>
      </w:r>
    </w:p>
    <w:p>
      <w:pPr>
        <w:pStyle w:val="TextBody"/>
        <w:bidi w:val="0"/>
        <w:spacing w:before="240" w:after="0"/>
        <w:jc w:val="left"/>
        <w:rPr>
          <w:rFonts w:ascii="Times New Roman" w:hAnsi="Times New Roman"/>
          <w:sz w:val="20"/>
        </w:rPr>
      </w:pPr>
      <w:r>
        <w:rPr>
          <w:rFonts w:ascii="Times New Roman" w:hAnsi="Times New Roman"/>
          <w:sz w:val="20"/>
        </w:rPr>
        <w:t xml:space="preserve">Jennifer Kuperman Johnson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30979_29"/>
      <w:bookmarkEnd w:id="26"/>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27" w:name="toc30979_30"/>
      <w:bookmarkEnd w:id="27"/>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about the total compensation earned during fiscal 2025, fiscal 2024 and fiscal 2023 by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5"/>
        <w:gridCol w:w="60"/>
        <w:gridCol w:w="60"/>
        <w:gridCol w:w="500"/>
        <w:gridCol w:w="60"/>
        <w:gridCol w:w="60"/>
        <w:gridCol w:w="60"/>
        <w:gridCol w:w="800"/>
        <w:gridCol w:w="60"/>
        <w:gridCol w:w="60"/>
        <w:gridCol w:w="60"/>
        <w:gridCol w:w="380"/>
        <w:gridCol w:w="60"/>
        <w:gridCol w:w="60"/>
        <w:gridCol w:w="60"/>
        <w:gridCol w:w="980"/>
        <w:gridCol w:w="60"/>
        <w:gridCol w:w="60"/>
        <w:gridCol w:w="96"/>
        <w:gridCol w:w="419"/>
        <w:gridCol w:w="60"/>
        <w:gridCol w:w="60"/>
        <w:gridCol w:w="60"/>
        <w:gridCol w:w="980"/>
        <w:gridCol w:w="60"/>
        <w:gridCol w:w="60"/>
        <w:gridCol w:w="66"/>
        <w:gridCol w:w="884"/>
        <w:gridCol w:w="60"/>
        <w:gridCol w:w="60"/>
        <w:gridCol w:w="66"/>
        <w:gridCol w:w="884"/>
        <w:gridCol w:w="60"/>
        <w:gridCol w:w="60"/>
        <w:gridCol w:w="60"/>
        <w:gridCol w:w="98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28" w:type="dxa"/>
            </w:tcMar>
            <w:vAlign w:val="center"/>
          </w:tcPr>
          <w:p>
            <w:pPr>
              <w:pStyle w:val="TableContents"/>
              <w:bidi w:val="0"/>
              <w:spacing w:lineRule="atLeast" w:line="200" w:before="0" w:after="20"/>
              <w:jc w:val="center"/>
              <w:rPr>
                <w:rFonts w:ascii="Times New Roman" w:hAnsi="Times New Roman"/>
                <w:b/>
                <w:sz w:val="15"/>
              </w:rPr>
            </w:pPr>
            <w:r>
              <w:rPr>
                <w:rFonts w:ascii="Times New Roman" w:hAnsi="Times New Roman"/>
                <w:b/>
                <w:sz w:val="15"/>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5"/>
              </w:rPr>
            </w:pPr>
            <w:r>
              <w:rPr>
                <w:rFonts w:ascii="Times New Roman" w:hAnsi="Times New Roman"/>
                <w:b/>
                <w:sz w:val="15"/>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5"/>
              </w:rPr>
            </w:pPr>
            <w:r>
              <w:rPr>
                <w:rFonts w:ascii="Times New Roman" w:hAnsi="Times New Roman"/>
                <w:b/>
                <w:sz w:val="15"/>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5"/>
              </w:rPr>
            </w:pPr>
            <w:r>
              <w:rPr>
                <w:rFonts w:ascii="Times New Roman" w:hAnsi="Times New Roman"/>
                <w:b/>
                <w:sz w:val="15"/>
              </w:rPr>
              <w:t>Bonus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Stock</w:t>
              <w:br/>
              <w:t>Awards</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Non-Equity</w:t>
              <w:br/>
              <w:t>Incentive Plan</w:t>
              <w:br/>
              <w:t>Compensation</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Non-Qualified</w:t>
              <w:br/>
              <w:t>Deferred</w:t>
              <w:br/>
              <w:t>Compensation</w:t>
              <w:br/>
              <w:t>Earnings</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All Other</w:t>
              <w:br/>
              <w:t>Compensation</w:t>
              <w:b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5"/>
              </w:rPr>
            </w:pPr>
            <w:r>
              <w:rPr>
                <w:rFonts w:ascii="Times New Roman" w:hAnsi="Times New Roman"/>
                <w:b/>
                <w:sz w:val="15"/>
              </w:rPr>
              <w:t>Total</w:t>
              <w:br/>
              <w:t>($)</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lineRule="atLeast" w:line="260" w:before="0" w:after="0"/>
              <w:jc w:val="left"/>
              <w:rPr>
                <w:rFonts w:ascii="Times New Roman" w:hAnsi="Times New Roman"/>
                <w:sz w:val="17"/>
              </w:rPr>
            </w:pPr>
            <w:r>
              <w:rPr>
                <w:rFonts w:ascii="Times New Roman" w:hAnsi="Times New Roman"/>
                <w:sz w:val="17"/>
              </w:rPr>
              <w:t>Darcy Horn Davenport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950,025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64,510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6,563,539</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i/>
                <w:sz w:val="17"/>
              </w:rPr>
            </w:pPr>
            <w:r>
              <w:rPr>
                <w:rFonts w:ascii="Times New Roman" w:hAnsi="Times New Roman"/>
                <w:i/>
                <w:sz w:val="17"/>
              </w:rPr>
              <w:t>President and 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7,499,798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144,511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101,094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9,901,653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73,969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47,335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6,801,904</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Paul A. Rode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350,044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21,733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25,802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1,697,579</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i/>
                <w:sz w:val="17"/>
              </w:rPr>
            </w:pPr>
            <w:r>
              <w:rPr>
                <w:rFonts w:ascii="Times New Roman" w:hAnsi="Times New Roman"/>
                <w:i/>
                <w:sz w:val="17"/>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1,949,955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36,992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21,803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3,071,250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1,089,182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295,750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17,992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20,904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1,878,828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Douglas J. Cornille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19,153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1,548,820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i/>
                <w:sz w:val="17"/>
              </w:rPr>
            </w:pPr>
            <w:r>
              <w:rPr>
                <w:rFonts w:ascii="Times New Roman" w:hAnsi="Times New Roman"/>
                <w:i/>
                <w:sz w:val="17"/>
              </w:rPr>
              <w:t>Chief Growth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1,769,968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23,748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19,237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2,790,453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956,932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10,472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18,229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1,695,133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Craig L. Rosenthal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470,033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271,609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23,872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1,390,514</w:t>
            </w:r>
          </w:p>
        </w:tc>
        <w:tc>
          <w:tcPr>
            <w:tcW w:w="75" w:type="dxa"/>
            <w:tcBorders/>
            <w:vAlign w:val="center"/>
          </w:tcPr>
          <w:p>
            <w:pPr>
              <w:pStyle w:val="TableContents"/>
              <w:bidi w:val="0"/>
              <w:spacing w:before="0" w:after="283"/>
              <w:jc w:val="left"/>
              <w:rPr/>
            </w:pPr>
            <w:r>
              <w:rPr/>
              <w:t> </w:t>
            </w:r>
          </w:p>
        </w:tc>
      </w:tr>
      <w:tr>
        <w:trPr/>
        <w:tc>
          <w:tcPr>
            <w:tcW w:w="1715" w:type="dxa"/>
            <w:vMerge w:val="restart"/>
            <w:tcBorders/>
            <w:vAlign w:val="center"/>
          </w:tcPr>
          <w:p>
            <w:pPr>
              <w:pStyle w:val="TableContents"/>
              <w:bidi w:val="0"/>
              <w:spacing w:before="0" w:after="0"/>
              <w:jc w:val="left"/>
              <w:rPr>
                <w:rFonts w:ascii="Times New Roman" w:hAnsi="Times New Roman"/>
                <w:i/>
                <w:sz w:val="17"/>
              </w:rPr>
            </w:pPr>
            <w:r>
              <w:rPr>
                <w:rFonts w:ascii="Times New Roman" w:hAnsi="Times New Roman"/>
                <w:i/>
                <w:sz w:val="17"/>
              </w:rPr>
              <w:t>Chief Legal Officer, Chief Compliance Officer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1,499,986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419,250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23,441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2,372,677</w:t>
            </w:r>
          </w:p>
        </w:tc>
        <w:tc>
          <w:tcPr>
            <w:tcW w:w="75" w:type="dxa"/>
            <w:tcBorders/>
            <w:vAlign w:val="center"/>
          </w:tcPr>
          <w:p>
            <w:pPr>
              <w:pStyle w:val="TableContents"/>
              <w:bidi w:val="0"/>
              <w:spacing w:before="0" w:after="283"/>
              <w:jc w:val="left"/>
              <w:rPr/>
            </w:pPr>
            <w:r>
              <w:rPr/>
              <w:t> </w:t>
            </w:r>
          </w:p>
        </w:tc>
      </w:tr>
      <w:tr>
        <w:trPr/>
        <w:tc>
          <w:tcPr>
            <w:tcW w:w="17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816,852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22,326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1,459,178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Robin Singh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1,177,870</w:t>
            </w:r>
          </w:p>
        </w:tc>
        <w:tc>
          <w:tcPr>
            <w:tcW w:w="75" w:type="dxa"/>
            <w:tcBorders/>
            <w:shd w:fill="CCEEFF" w:val="clear"/>
            <w:vAlign w:val="center"/>
          </w:tcPr>
          <w:p>
            <w:pPr>
              <w:pStyle w:val="TableContents"/>
              <w:bidi w:val="0"/>
              <w:spacing w:before="0" w:after="283"/>
              <w:jc w:val="left"/>
              <w:rPr/>
            </w:pPr>
            <w:r>
              <w:rPr/>
              <w:t> </w:t>
            </w:r>
          </w:p>
        </w:tc>
      </w:tr>
      <w:tr>
        <w:trPr/>
        <w:tc>
          <w:tcPr>
            <w:tcW w:w="1715" w:type="dxa"/>
            <w:vMerge w:val="restart"/>
            <w:tcBorders/>
            <w:shd w:fill="CCEEFF" w:val="clear"/>
            <w:vAlign w:val="center"/>
          </w:tcPr>
          <w:p>
            <w:pPr>
              <w:pStyle w:val="TableContents"/>
              <w:bidi w:val="0"/>
              <w:spacing w:before="0" w:after="0"/>
              <w:jc w:val="left"/>
              <w:rPr>
                <w:rFonts w:ascii="Times New Roman" w:hAnsi="Times New Roman"/>
                <w:i/>
                <w:sz w:val="17"/>
              </w:rPr>
            </w:pPr>
            <w:r>
              <w:rPr>
                <w:rFonts w:ascii="Times New Roman" w:hAnsi="Times New Roman"/>
                <w:i/>
                <w:sz w:val="17"/>
              </w:rPr>
              <w:t>Chief Supply Chain Officer - Premier Nutrition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1,149,979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23,096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1,903,075</w:t>
            </w:r>
          </w:p>
        </w:tc>
        <w:tc>
          <w:tcPr>
            <w:tcW w:w="75" w:type="dxa"/>
            <w:tcBorders/>
            <w:shd w:fill="CCEEFF" w:val="clear"/>
            <w:vAlign w:val="center"/>
          </w:tcPr>
          <w:p>
            <w:pPr>
              <w:pStyle w:val="TableContents"/>
              <w:bidi w:val="0"/>
              <w:spacing w:before="0" w:after="283"/>
              <w:jc w:val="left"/>
              <w:rPr/>
            </w:pPr>
            <w:r>
              <w:rPr/>
              <w:t> </w:t>
            </w:r>
          </w:p>
        </w:tc>
      </w:tr>
      <w:tr>
        <w:trPr/>
        <w:tc>
          <w:tcPr>
            <w:tcW w:w="171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18,084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861,566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fiscal 2025, the amounts relate to awards of RSUs of our common stock (the “BellRing RSUs”) and PRSUs of our common Stock (the “BellRing PRSUs”) granted in the fiscal year. The awards reflect the aggregate grant date fair values computed in accordance with FASB ASC Topic 718, and do not correspond to the actual values that will be realized by the NEOs. For the BellRing RSUs and the BellRing PRSUs, see Note 15 to the Company’s fiscal year 2025 financial statements beginning on page 62 of the Company’s Annual Report on Form 10-K for the fiscal year ended September 30, 2025 for a discussion of the determination of these amounts under FASB ASC Topic 718.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incremental fair value expensed in connection with adjustments to outstanding option awards in the Reorganization Transactions.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fiscal 2025, the amounts reported in this column reflect bonuses paid to the NEOs under the BellRing Brands, Inc. Senior Management Bonus Program, discussed above in </w:t>
            </w:r>
            <w:r>
              <w:rPr>
                <w:rFonts w:ascii="Times New Roman" w:hAnsi="Times New Roman"/>
                <w:i/>
                <w:sz w:val="20"/>
              </w:rPr>
              <w:t>Compensation Discussion</w:t>
            </w:r>
            <w:r>
              <w:rPr>
                <w:rFonts w:ascii="Times New Roman" w:hAnsi="Times New Roman"/>
                <w:sz w:val="20"/>
              </w:rPr>
              <w:t> </w:t>
            </w:r>
            <w:r>
              <w:rPr>
                <w:rFonts w:ascii="Times New Roman" w:hAnsi="Times New Roman"/>
                <w:i/>
                <w:sz w:val="20"/>
              </w:rPr>
              <w:t>&amp; Analysis</w:t>
            </w:r>
            <w:r>
              <w:rPr>
                <w:rFonts w:ascii="Times New Roman" w:hAnsi="Times New Roman"/>
                <w:sz w:val="20"/>
              </w:rPr>
              <w:t xml:space="preserve">. For fiscal 2025, amounts payable to our NEOs pursuant to awards granted under the program were determined based on achievement of corporate or business unit goals and other achievements considered in the discretion of the Corporate Governance and Compensation Committee. See “Compensation Discussion &amp; Analysis - 2025 Compensation Elements - Annual Bonus (Senior Management Bonus Program) on page 34 of this proxy statement.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25" w:type="dxa"/>
        <w:jc w:val="left"/>
        <w:tblInd w:w="0" w:type="dxa"/>
        <w:tblLayout w:type="fixed"/>
        <w:tblCellMar>
          <w:top w:w="0" w:type="dxa"/>
          <w:left w:w="0" w:type="dxa"/>
          <w:bottom w:w="0" w:type="dxa"/>
          <w:right w:w="0" w:type="dxa"/>
        </w:tblCellMar>
      </w:tblPr>
      <w:tblGrid>
        <w:gridCol w:w="305"/>
        <w:gridCol w:w="6320"/>
      </w:tblGrid>
      <w:tr>
        <w:trPr/>
        <w:tc>
          <w:tcPr>
            <w:tcW w:w="305" w:type="dxa"/>
            <w:tcBorders/>
            <w:vAlign w:val="center"/>
          </w:tcPr>
          <w:p>
            <w:pPr>
              <w:pStyle w:val="TableContents"/>
              <w:bidi w:val="0"/>
              <w:spacing w:before="0" w:after="283"/>
              <w:jc w:val="left"/>
              <w:rPr/>
            </w:pPr>
            <w:r>
              <w:rPr/>
              <w:t>(5)</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“All Other Compensation” column include the following: </w:t>
            </w:r>
          </w:p>
        </w:tc>
      </w:tr>
    </w:tbl>
    <w:p>
      <w:pPr>
        <w:pStyle w:val="TextBody"/>
        <w:bidi w:val="0"/>
        <w:spacing w:before="0" w:after="0"/>
        <w:jc w:val="left"/>
        <w:rPr/>
      </w:pPr>
      <w:r>
        <w:rPr/>
        <w:t> </w:t>
      </w:r>
    </w:p>
    <w:tbl>
      <w:tblPr>
        <w:tblW w:w="8355" w:type="dxa"/>
        <w:jc w:val="left"/>
        <w:tblInd w:w="0" w:type="dxa"/>
        <w:tblLayout w:type="fixed"/>
        <w:tblCellMar>
          <w:top w:w="0" w:type="dxa"/>
          <w:left w:w="0" w:type="dxa"/>
          <w:bottom w:w="0" w:type="dxa"/>
          <w:right w:w="0" w:type="dxa"/>
        </w:tblCellMar>
      </w:tblPr>
      <w:tblGrid>
        <w:gridCol w:w="1865"/>
        <w:gridCol w:w="120"/>
        <w:gridCol w:w="117"/>
        <w:gridCol w:w="1328"/>
        <w:gridCol w:w="60"/>
        <w:gridCol w:w="120"/>
        <w:gridCol w:w="102"/>
        <w:gridCol w:w="953"/>
        <w:gridCol w:w="60"/>
        <w:gridCol w:w="120"/>
        <w:gridCol w:w="73"/>
        <w:gridCol w:w="832"/>
        <w:gridCol w:w="60"/>
        <w:gridCol w:w="120"/>
        <w:gridCol w:w="138"/>
        <w:gridCol w:w="1292"/>
        <w:gridCol w:w="60"/>
        <w:gridCol w:w="120"/>
        <w:gridCol w:w="60"/>
        <w:gridCol w:w="68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Matching</w:t>
              <w:br/>
              <w:t>Contributions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Life</w:t>
              <w:br/>
              <w:t>Insurance</w:t>
              <w:br/>
              <w:t>Premiums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Personal</w:t>
              <w:br/>
              <w:t>Use of</w:t>
              <w:br/>
              <w:t>Aircraft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Miscellaneous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1,084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40,144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2,282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64,510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20,553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1,084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4,165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25,802</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17,306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1,084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19,153</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22,218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1,084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23,872</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20,567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1,084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525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22,176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28" w:name="toc30979_31"/>
      <w:bookmarkEnd w:id="28"/>
      <w:r>
        <w:rPr>
          <w:rFonts w:ascii="Times New Roman" w:hAnsi="Times New Roman"/>
          <w:b/>
          <w:sz w:val="20"/>
        </w:rPr>
        <w:t xml:space="preserve">Grants of Plan-Based Awards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for each of the NEOs, information concerning cash awards under our annual incentive plan for fiscal year 2025 and grants of equity awards made during fiscal year 2025.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2024,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 2019 Long-Term Incentive Plan. See Compensation Discussion and Analysis for further information about the awards listed below. </w:t>
      </w:r>
    </w:p>
    <w:p>
      <w:pPr>
        <w:pStyle w:val="TextBody"/>
        <w:bidi w:val="0"/>
        <w:spacing w:before="0" w:after="0"/>
        <w:jc w:val="left"/>
        <w:rPr/>
      </w:pPr>
      <w:r>
        <w:rPr/>
        <w:t> </w:t>
      </w:r>
    </w:p>
    <w:tbl>
      <w:tblPr>
        <w:tblW w:w="12100" w:type="dxa"/>
        <w:jc w:val="left"/>
        <w:tblInd w:w="0" w:type="dxa"/>
        <w:tblLayout w:type="fixed"/>
        <w:tblCellMar>
          <w:top w:w="0" w:type="dxa"/>
          <w:left w:w="0" w:type="dxa"/>
          <w:bottom w:w="0" w:type="dxa"/>
          <w:right w:w="0" w:type="dxa"/>
        </w:tblCellMar>
      </w:tblPr>
      <w:tblGrid>
        <w:gridCol w:w="770"/>
        <w:gridCol w:w="60"/>
        <w:gridCol w:w="1760"/>
        <w:gridCol w:w="60"/>
        <w:gridCol w:w="635"/>
        <w:gridCol w:w="60"/>
        <w:gridCol w:w="74"/>
        <w:gridCol w:w="996"/>
        <w:gridCol w:w="60"/>
        <w:gridCol w:w="60"/>
        <w:gridCol w:w="60"/>
        <w:gridCol w:w="980"/>
        <w:gridCol w:w="60"/>
        <w:gridCol w:w="60"/>
        <w:gridCol w:w="61"/>
        <w:gridCol w:w="1009"/>
        <w:gridCol w:w="60"/>
        <w:gridCol w:w="60"/>
        <w:gridCol w:w="86"/>
        <w:gridCol w:w="984"/>
        <w:gridCol w:w="60"/>
        <w:gridCol w:w="60"/>
        <w:gridCol w:w="60"/>
        <w:gridCol w:w="680"/>
        <w:gridCol w:w="60"/>
        <w:gridCol w:w="60"/>
        <w:gridCol w:w="74"/>
        <w:gridCol w:w="996"/>
        <w:gridCol w:w="60"/>
        <w:gridCol w:w="60"/>
        <w:gridCol w:w="60"/>
        <w:gridCol w:w="680"/>
        <w:gridCol w:w="60"/>
        <w:gridCol w:w="60"/>
        <w:gridCol w:w="60"/>
        <w:gridCol w:w="980"/>
        <w:gridCol w:w="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4"/>
              </w:rPr>
            </w:pPr>
            <w:r>
              <w:rPr>
                <w:rFonts w:ascii="Times New Roman" w:hAnsi="Times New Roman"/>
                <w:b/>
                <w:sz w:val="14"/>
              </w:rPr>
              <w:t>Estimated future payouts under non-</w:t>
              <w:br/>
              <w:t>equity incentive plan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10"/>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4"/>
              </w:rPr>
            </w:pPr>
            <w:r>
              <w:rPr>
                <w:rFonts w:ascii="Times New Roman" w:hAnsi="Times New Roman"/>
                <w:b/>
                <w:sz w:val="14"/>
              </w:rPr>
              <w:t>Estimated future payouts under</w:t>
              <w:br/>
              <w:t>equity incentive plan awards(2)</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40" w:type="dxa"/>
            <w:gridSpan w:val="2"/>
            <w:vMerge w:val="restart"/>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4"/>
              </w:rPr>
            </w:pPr>
            <w:r>
              <w:rPr>
                <w:rFonts w:ascii="Times New Roman" w:hAnsi="Times New Roman"/>
                <w:b/>
                <w:sz w:val="14"/>
              </w:rPr>
              <w:t>All</w:t>
              <w:br/>
              <w:t>Other</w:t>
              <w:br/>
              <w:t>Stock</w:t>
              <w:br/>
              <w:t>Awards:</w:t>
              <w:br/>
              <w:t>Number</w:t>
              <w:br/>
              <w:t>of Units</w:t>
              <w:br/>
              <w:t>(#)(3)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4"/>
              </w:rPr>
            </w:pPr>
            <w:r>
              <w:rPr>
                <w:rFonts w:ascii="Times New Roman" w:hAnsi="Times New Roman"/>
                <w:b/>
                <w:sz w:val="14"/>
              </w:rPr>
              <w:t>Grant date</w:t>
              <w:br/>
              <w:t>fair value</w:t>
              <w:br/>
              <w:t>of stock</w:t>
              <w:br/>
              <w:t>and option</w:t>
              <w:br/>
              <w:t>awards</w:t>
              <w:br/>
              <w:t>($)(4)</w:t>
            </w:r>
          </w:p>
        </w:tc>
        <w:tc>
          <w:tcPr>
            <w:tcW w:w="75" w:type="dxa"/>
            <w:vMerge w:val="restart"/>
            <w:tcBorders/>
            <w:vAlign w:val="center"/>
          </w:tcPr>
          <w:p>
            <w:pPr>
              <w:pStyle w:val="TableContents"/>
              <w:bidi w:val="0"/>
              <w:spacing w:before="0" w:after="283"/>
              <w:jc w:val="left"/>
              <w:rPr/>
            </w:pPr>
            <w:r>
              <w:rPr/>
              <w:t> </w:t>
            </w:r>
          </w:p>
        </w:tc>
      </w:tr>
      <w:tr>
        <w:trPr/>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center"/>
              <w:rPr>
                <w:b/>
              </w:rPr>
            </w:pPr>
            <w:r>
              <w:rPr>
                <w:b/>
              </w:rPr>
              <w:t>Grant Type</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7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77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Darcy Horn Davenport</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Annual Incentive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593,766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1,781,297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RSUs and PRSUs</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11/07/24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27,245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54,489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141,671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4,400,000</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Paul A. Rode</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Annual Incentive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196,875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590,625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RSUs and PRSUs</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11/07/24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4,799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24,952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Douglas J. Cornille</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Annual Incentive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188,025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564,075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RSUs and PRSUs</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11/07/24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21,895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680,000</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Craig L. Rosenthal</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Annual Incentive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152,757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485,271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RSUs and PRSUs</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11/07/24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3,870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7,739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20,121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625,000</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Robin Singh</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Annual Incentive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RSUs and PRSUs</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11/07/24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450,000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columns consist of threshold, target and maximum annual incentive targets for fiscal year 2025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 </w:t>
            </w:r>
          </w:p>
        </w:tc>
      </w:tr>
    </w:tbl>
    <w:tbl>
      <w:tblPr>
        <w:tblW w:w="6160" w:type="dxa"/>
        <w:jc w:val="left"/>
        <w:tblInd w:w="0" w:type="dxa"/>
        <w:tblLayout w:type="fixed"/>
        <w:tblCellMar>
          <w:top w:w="0" w:type="dxa"/>
          <w:left w:w="0" w:type="dxa"/>
          <w:bottom w:w="0" w:type="dxa"/>
          <w:right w:w="0" w:type="dxa"/>
        </w:tblCellMar>
      </w:tblPr>
      <w:tblGrid>
        <w:gridCol w:w="305"/>
        <w:gridCol w:w="5855"/>
      </w:tblGrid>
      <w:tr>
        <w:trPr/>
        <w:tc>
          <w:tcPr>
            <w:tcW w:w="305" w:type="dxa"/>
            <w:tcBorders/>
            <w:vAlign w:val="center"/>
          </w:tcPr>
          <w:p>
            <w:pPr>
              <w:pStyle w:val="TableContents"/>
              <w:bidi w:val="0"/>
              <w:spacing w:before="0" w:after="283"/>
              <w:jc w:val="left"/>
              <w:rPr/>
            </w:pPr>
            <w:r>
              <w:rPr/>
              <w:t>(2)</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contains the number of PRSUs granted in fiscal year 2025. </w:t>
            </w:r>
          </w:p>
        </w:tc>
      </w:tr>
    </w:tbl>
    <w:tbl>
      <w:tblPr>
        <w:tblW w:w="6055" w:type="dxa"/>
        <w:jc w:val="left"/>
        <w:tblInd w:w="0" w:type="dxa"/>
        <w:tblLayout w:type="fixed"/>
        <w:tblCellMar>
          <w:top w:w="0" w:type="dxa"/>
          <w:left w:w="0" w:type="dxa"/>
          <w:bottom w:w="0" w:type="dxa"/>
          <w:right w:w="0" w:type="dxa"/>
        </w:tblCellMar>
      </w:tblPr>
      <w:tblGrid>
        <w:gridCol w:w="305"/>
        <w:gridCol w:w="5750"/>
      </w:tblGrid>
      <w:tr>
        <w:trPr/>
        <w:tc>
          <w:tcPr>
            <w:tcW w:w="305" w:type="dxa"/>
            <w:tcBorders/>
            <w:vAlign w:val="center"/>
          </w:tcPr>
          <w:p>
            <w:pPr>
              <w:pStyle w:val="TableContents"/>
              <w:bidi w:val="0"/>
              <w:spacing w:before="0" w:after="283"/>
              <w:jc w:val="left"/>
              <w:rPr/>
            </w:pPr>
            <w:r>
              <w:rPr/>
              <w:t>(3)</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contains the number of RSUs granted in fiscal year 2025. </w:t>
            </w:r>
          </w:p>
        </w:tc>
      </w:tr>
    </w:tbl>
    <w:tbl>
      <w:tblPr>
        <w:tblW w:w="9940" w:type="dxa"/>
        <w:jc w:val="left"/>
        <w:tblInd w:w="0" w:type="dxa"/>
        <w:tblLayout w:type="fixed"/>
        <w:tblCellMar>
          <w:top w:w="0" w:type="dxa"/>
          <w:left w:w="0" w:type="dxa"/>
          <w:bottom w:w="0" w:type="dxa"/>
          <w:right w:w="0" w:type="dxa"/>
        </w:tblCellMar>
      </w:tblPr>
      <w:tblGrid>
        <w:gridCol w:w="305"/>
        <w:gridCol w:w="9635"/>
      </w:tblGrid>
      <w:tr>
        <w:trPr/>
        <w:tc>
          <w:tcPr>
            <w:tcW w:w="305" w:type="dxa"/>
            <w:tcBorders/>
            <w:vAlign w:val="center"/>
          </w:tcPr>
          <w:p>
            <w:pPr>
              <w:pStyle w:val="TableContents"/>
              <w:bidi w:val="0"/>
              <w:spacing w:before="0" w:after="283"/>
              <w:jc w:val="left"/>
              <w:rPr/>
            </w:pPr>
            <w:r>
              <w:rPr/>
              <w:t>(4)</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grant date fair value of equity awards calculated in accordance with FASB ASC Topic 718.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oc30979_32"/>
      <w:bookmarkEnd w:id="29"/>
      <w:r>
        <w:rPr>
          <w:rFonts w:ascii="Times New Roman" w:hAnsi="Times New Roman"/>
          <w:b/>
          <w:sz w:val="20"/>
        </w:rPr>
        <w:t xml:space="preserve">Outstanding Equity Awards at September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on exercisable and unexercisable options and unvested RSU and PRSU awards held by our named executive officers on September 30, 2025. </w:t>
      </w:r>
    </w:p>
    <w:p>
      <w:pPr>
        <w:pStyle w:val="TextBody"/>
        <w:bidi w:val="0"/>
        <w:spacing w:before="0" w:after="0"/>
        <w:jc w:val="left"/>
        <w:rPr/>
      </w:pPr>
      <w:r>
        <w:rPr/>
        <w:t> </w:t>
      </w:r>
    </w:p>
    <w:tbl>
      <w:tblPr>
        <w:tblW w:w="11280" w:type="dxa"/>
        <w:jc w:val="left"/>
        <w:tblInd w:w="0" w:type="dxa"/>
        <w:tblLayout w:type="fixed"/>
        <w:tblCellMar>
          <w:top w:w="0" w:type="dxa"/>
          <w:left w:w="0" w:type="dxa"/>
          <w:bottom w:w="0" w:type="dxa"/>
          <w:right w:w="0" w:type="dxa"/>
        </w:tblCellMar>
      </w:tblPr>
      <w:tblGrid>
        <w:gridCol w:w="770"/>
        <w:gridCol w:w="120"/>
        <w:gridCol w:w="114"/>
        <w:gridCol w:w="1151"/>
        <w:gridCol w:w="170"/>
        <w:gridCol w:w="60"/>
        <w:gridCol w:w="270"/>
        <w:gridCol w:w="1175"/>
        <w:gridCol w:w="60"/>
        <w:gridCol w:w="120"/>
        <w:gridCol w:w="84"/>
        <w:gridCol w:w="791"/>
        <w:gridCol w:w="60"/>
        <w:gridCol w:w="120"/>
        <w:gridCol w:w="60"/>
        <w:gridCol w:w="815"/>
        <w:gridCol w:w="60"/>
        <w:gridCol w:w="120"/>
        <w:gridCol w:w="91"/>
        <w:gridCol w:w="784"/>
        <w:gridCol w:w="170"/>
        <w:gridCol w:w="60"/>
        <w:gridCol w:w="60"/>
        <w:gridCol w:w="980"/>
        <w:gridCol w:w="60"/>
        <w:gridCol w:w="120"/>
        <w:gridCol w:w="123"/>
        <w:gridCol w:w="1247"/>
        <w:gridCol w:w="170"/>
        <w:gridCol w:w="60"/>
        <w:gridCol w:w="60"/>
        <w:gridCol w:w="1100"/>
        <w:gridCol w:w="75"/>
      </w:tblGrid>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5"/>
              </w:rPr>
            </w:pPr>
            <w:r>
              <w:rPr>
                <w:rFonts w:ascii="Times New Roman" w:hAnsi="Times New Roman"/>
                <w:b/>
                <w:sz w:val="15"/>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w:t>
              <w:br/>
              <w:t>Shares</w:t>
              <w:br/>
              <w:t>or Units</w:t>
              <w:br/>
              <w:t>of Stock</w:t>
              <w:br/>
              <w:t>That</w:t>
              <w:br/>
              <w:t>Have</w:t>
              <w:br/>
              <w:t>Not</w:t>
              <w:br/>
              <w:t>Vested</w:t>
              <w:br/>
              <w:t>(#)</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Market</w:t>
              <w:br/>
              <w:t>Value of</w:t>
              <w:br/>
              <w:t>Shares or</w:t>
              <w:br/>
              <w:t>Units of</w:t>
              <w:br/>
              <w:t>Stock</w:t>
              <w:br/>
              <w:t>That</w:t>
              <w:br/>
              <w:t>Have Not</w:t>
              <w:br/>
              <w:t>Vested(10)</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w:t>
              <w:br/>
              <w:t>Awards:</w:t>
              <w:br/>
              <w:t>Number of</w:t>
              <w:br/>
              <w:t>Unearned</w:t>
              <w:br/>
              <w:t>Shares, Units</w:t>
              <w:br/>
              <w:t>or Other</w:t>
              <w:br/>
              <w:t>Rights That</w:t>
              <w:br/>
              <w:t>Have Not</w:t>
              <w:br/>
              <w:t>Vested</w:t>
              <w:br/>
              <w:t>(#)</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5"/>
              </w:rPr>
            </w:pPr>
            <w:r>
              <w:rPr>
                <w:rFonts w:ascii="Times New Roman" w:hAnsi="Times New Roman"/>
                <w:b/>
                <w:sz w:val="15"/>
              </w:rPr>
              <w:t>Market</w:t>
              <w:br/>
              <w:t>Value of</w:t>
              <w:br/>
              <w:t>Shares or</w:t>
              <w:br/>
              <w:t>Units of</w:t>
              <w:br/>
              <w:t>Stock</w:t>
              <w:br/>
              <w:t>That</w:t>
              <w:br/>
              <w:t>Have Not</w:t>
              <w:br/>
              <w:t>Vested($)(10)</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Darcy Horn Davenport</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lineRule="atLeast" w:line="240" w:before="0" w:after="0"/>
              <w:jc w:val="left"/>
              <w:rPr/>
            </w:pPr>
            <w:r>
              <w:rPr/>
              <w:t> </w:t>
            </w:r>
          </w:p>
        </w:tc>
        <w:tc>
          <w:tcPr>
            <w:tcW w:w="1151"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14,828</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(1)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48.10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11/14/2026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27,245</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990,356</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151"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23,688</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(1)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53.63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12/1/2027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323,874</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11,772,820</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lineRule="atLeast" w:line="240" w:before="0" w:after="0"/>
              <w:jc w:val="left"/>
              <w:rPr/>
            </w:pPr>
            <w:r>
              <w:rPr/>
              <w:t> </w:t>
            </w:r>
          </w:p>
        </w:tc>
        <w:tc>
          <w:tcPr>
            <w:tcW w:w="1151"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18,296</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(1)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11/13/2028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293,295</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10,661,273</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151"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84,873</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(2)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11/20/2029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lineRule="atLeast" w:line="240" w:before="0" w:after="0"/>
              <w:jc w:val="left"/>
              <w:rPr/>
            </w:pPr>
            <w:r>
              <w:rPr/>
              <w:t> </w:t>
            </w:r>
          </w:p>
        </w:tc>
        <w:tc>
          <w:tcPr>
            <w:tcW w:w="784"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12,773</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464,299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lineRule="atLeast" w:line="240" w:before="0" w:after="0"/>
              <w:jc w:val="left"/>
              <w:rPr/>
            </w:pPr>
            <w:r>
              <w:rPr/>
              <w:t> </w:t>
            </w:r>
          </w:p>
        </w:tc>
        <w:tc>
          <w:tcPr>
            <w:tcW w:w="1151"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119,704</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(3)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11/12/2030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45,209</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1,643,347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Paul A. Rode</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151"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38,650</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(3)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11/12/2030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4,799</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174,444</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77,968</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2,834,137</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62,569</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2,274,383</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2,249</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lineRule="atLeast" w:line="240" w:before="0" w:after="0"/>
              <w:jc w:val="left"/>
              <w:rPr/>
            </w:pPr>
            <w:r>
              <w:rPr/>
              <w:t> </w:t>
            </w:r>
          </w:p>
        </w:tc>
        <w:tc>
          <w:tcPr>
            <w:tcW w:w="784"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13,993</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508,646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Douglas J. Cornille</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4,211</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153,070</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70,717</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2,570,563</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54,971</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1,998,196</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lineRule="atLeast" w:line="240" w:before="0" w:after="0"/>
              <w:jc w:val="left"/>
              <w:rPr/>
            </w:pPr>
            <w:r>
              <w:rPr/>
              <w:t> </w:t>
            </w:r>
          </w:p>
        </w:tc>
        <w:tc>
          <w:tcPr>
            <w:tcW w:w="784"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1,974</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12,917</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469,533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Craig L. Rosenthal</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151"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15,760</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(3)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11/12/2030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3,870</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140,675</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59,976</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2,180,238</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46,924</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1,705,687</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1,814</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65,939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pPr>
            <w:r>
              <w:rPr/>
              <w:t> </w:t>
            </w:r>
          </w:p>
        </w:tc>
        <w:tc>
          <w:tcPr>
            <w:tcW w:w="124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lineRule="atLeast" w:line="240" w:before="0" w:after="0"/>
              <w:jc w:val="left"/>
              <w:rPr/>
            </w:pPr>
            <w:r>
              <w:rPr/>
              <w:t> </w:t>
            </w:r>
          </w:p>
        </w:tc>
        <w:tc>
          <w:tcPr>
            <w:tcW w:w="784"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10,764</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391,271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Robin Singh</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1,306</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lineRule="atLeast" w:line="240" w:before="0" w:after="0"/>
              <w:jc w:val="left"/>
              <w:rPr/>
            </w:pPr>
            <w:r>
              <w:rPr/>
              <w:t> </w:t>
            </w:r>
          </w:p>
        </w:tc>
        <w:tc>
          <w:tcPr>
            <w:tcW w:w="1247"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2,786</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101,271</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lineRule="atLeast" w:line="240" w:before="0" w:after="0"/>
              <w:jc w:val="left"/>
              <w:rPr/>
            </w:pPr>
            <w:r>
              <w:rPr/>
              <w:t> </w:t>
            </w:r>
          </w:p>
        </w:tc>
        <w:tc>
          <w:tcPr>
            <w:tcW w:w="784"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8,611</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313,010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240" w:before="0" w:after="0"/>
              <w:jc w:val="left"/>
              <w:rPr/>
            </w:pPr>
            <w:r>
              <w:rPr/>
              <w:t> </w:t>
            </w:r>
          </w:p>
        </w:tc>
        <w:tc>
          <w:tcPr>
            <w:tcW w:w="1247" w:type="dxa"/>
            <w:tcBorders/>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44,982</w:t>
            </w:r>
          </w:p>
        </w:tc>
        <w:tc>
          <w:tcPr>
            <w:tcW w:w="170"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1,635,096</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15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lineRule="atLeast" w:line="240" w:before="0" w:after="0"/>
              <w:jc w:val="left"/>
              <w:rPr/>
            </w:pPr>
            <w:r>
              <w:rPr/>
              <w:t> </w:t>
            </w:r>
          </w:p>
        </w:tc>
        <w:tc>
          <w:tcPr>
            <w:tcW w:w="784" w:type="dxa"/>
            <w:tcBorders/>
            <w:shd w:fill="CCEEFF" w:val="clear"/>
            <w:vAlign w:val="center"/>
          </w:tcPr>
          <w:p>
            <w:pPr>
              <w:pStyle w:val="TableContents"/>
              <w:bidi w:val="0"/>
              <w:spacing w:lineRule="atLeast" w:line="240" w:before="0" w:after="0"/>
              <w:jc w:val="right"/>
              <w:rPr>
                <w:rFonts w:ascii="Times New Roman" w:hAnsi="Times New Roman"/>
                <w:sz w:val="16"/>
              </w:rPr>
            </w:pPr>
            <w:r>
              <w:rPr>
                <w:rFonts w:ascii="Times New Roman" w:hAnsi="Times New Roman"/>
                <w:sz w:val="16"/>
              </w:rPr>
              <w:t>7,112</w:t>
            </w:r>
          </w:p>
        </w:tc>
        <w:tc>
          <w:tcPr>
            <w:tcW w:w="170" w:type="dxa"/>
            <w:tcBorders/>
            <w:shd w:fill="CCEEFF" w:val="clear"/>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258,521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3100" w:type="dxa"/>
        <w:jc w:val="left"/>
        <w:tblInd w:w="0" w:type="dxa"/>
        <w:tblLayout w:type="fixed"/>
        <w:tblCellMar>
          <w:top w:w="0" w:type="dxa"/>
          <w:left w:w="0" w:type="dxa"/>
          <w:bottom w:w="0" w:type="dxa"/>
          <w:right w:w="0" w:type="dxa"/>
        </w:tblCellMar>
      </w:tblPr>
      <w:tblGrid>
        <w:gridCol w:w="305"/>
        <w:gridCol w:w="2795"/>
      </w:tblGrid>
      <w:tr>
        <w:trPr/>
        <w:tc>
          <w:tcPr>
            <w:tcW w:w="305" w:type="dxa"/>
            <w:tcBorders/>
            <w:vAlign w:val="center"/>
          </w:tcPr>
          <w:p>
            <w:pPr>
              <w:pStyle w:val="TableContents"/>
              <w:bidi w:val="0"/>
              <w:spacing w:before="0" w:after="283"/>
              <w:jc w:val="left"/>
              <w:rPr/>
            </w:pPr>
            <w:r>
              <w:rPr/>
              <w:t>(1)</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Non-qualified Post stock options. </w:t>
            </w:r>
          </w:p>
        </w:tc>
      </w:tr>
    </w:tbl>
    <w:tbl>
      <w:tblPr>
        <w:tblW w:w="3550" w:type="dxa"/>
        <w:jc w:val="left"/>
        <w:tblInd w:w="0" w:type="dxa"/>
        <w:tblLayout w:type="fixed"/>
        <w:tblCellMar>
          <w:top w:w="0" w:type="dxa"/>
          <w:left w:w="0" w:type="dxa"/>
          <w:bottom w:w="0" w:type="dxa"/>
          <w:right w:w="0" w:type="dxa"/>
        </w:tblCellMar>
      </w:tblPr>
      <w:tblGrid>
        <w:gridCol w:w="305"/>
        <w:gridCol w:w="3245"/>
      </w:tblGrid>
      <w:tr>
        <w:trPr/>
        <w:tc>
          <w:tcPr>
            <w:tcW w:w="305" w:type="dxa"/>
            <w:tcBorders/>
            <w:vAlign w:val="center"/>
          </w:tcPr>
          <w:p>
            <w:pPr>
              <w:pStyle w:val="TableContents"/>
              <w:bidi w:val="0"/>
              <w:spacing w:before="0" w:after="283"/>
              <w:jc w:val="left"/>
              <w:rPr/>
            </w:pPr>
            <w:r>
              <w:rPr/>
              <w:t>(2)</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Non-qualified Company stock options. </w:t>
            </w:r>
          </w:p>
        </w:tc>
      </w:tr>
    </w:tbl>
    <w:tbl>
      <w:tblPr>
        <w:tblW w:w="3580" w:type="dxa"/>
        <w:jc w:val="left"/>
        <w:tblInd w:w="0" w:type="dxa"/>
        <w:tblLayout w:type="fixed"/>
        <w:tblCellMar>
          <w:top w:w="0" w:type="dxa"/>
          <w:left w:w="0" w:type="dxa"/>
          <w:bottom w:w="0" w:type="dxa"/>
          <w:right w:w="0" w:type="dxa"/>
        </w:tblCellMar>
      </w:tblPr>
      <w:tblGrid>
        <w:gridCol w:w="305"/>
        <w:gridCol w:w="3275"/>
      </w:tblGrid>
      <w:tr>
        <w:trPr/>
        <w:tc>
          <w:tcPr>
            <w:tcW w:w="305" w:type="dxa"/>
            <w:tcBorders/>
            <w:vAlign w:val="center"/>
          </w:tcPr>
          <w:p>
            <w:pPr>
              <w:pStyle w:val="TableContents"/>
              <w:bidi w:val="0"/>
              <w:spacing w:before="0" w:after="283"/>
              <w:jc w:val="left"/>
              <w:rPr/>
            </w:pPr>
            <w:r>
              <w:rPr/>
              <w:t>(3)</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Non-Qualified Company stock options.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instruction 3 to Item 402(f)(2) of Regulation S-K, Company PRSUs reported at threshold 50% of target based on actual performance at 0% of target as of September 30, 2025; service-based restrictions lapse on November 7, 2027 and vesting is subject to the satisfaction of performance conditions. The PRSUs will be paid in shares of the Company’s common stock within sixty days from the vesting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RSUs; service-based restrictions lapse on November 7, 2027. The RSUs will be paid in shares of the Company’s common stock within sixty days from the vesting date.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(6)</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instruction 3 to Item 402(f)(2) of Regulation S-K, Company PRSUs reported at maximum performance of 260% of target based on performance at 102% of target as of September 30, 2025; service-based restrictions lapse on November 10, 2026 and vesting is subject to the satisfaction of performance conditions. The PRSUs will be paid in shares of the Company’s common stock within sixty days from the vesting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RSUs; service-based restrictions lapse on November 10, 2026. The RSUs will be paid in shares of the Company’s common stock within sixty days from the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instruction 3 to Item 402(f)(2) of Regulation S-K, Company PRSUs reported at maximum 260% of target based on actual performance at 260% of target as of September 30, 2025; service-based restrictions lapse on November 11, 2025 and vesting is subject to the satisfaction of performance conditions. The PRSUs will be paid in shares of the Company’s common stock within sixty days from the vesting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(9)</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RSUs; service-based restrictions lapse on November 11, 2025. The RSUs will be paid in shares of the Company’s common stock within sixty days from the vesting date. </w:t>
            </w:r>
          </w:p>
        </w:tc>
      </w:tr>
    </w:tbl>
    <w:tbl>
      <w:tblPr>
        <w:tblW w:w="6895" w:type="dxa"/>
        <w:jc w:val="left"/>
        <w:tblInd w:w="0" w:type="dxa"/>
        <w:tblLayout w:type="fixed"/>
        <w:tblCellMar>
          <w:top w:w="0" w:type="dxa"/>
          <w:left w:w="0" w:type="dxa"/>
          <w:bottom w:w="0" w:type="dxa"/>
          <w:right w:w="0" w:type="dxa"/>
        </w:tblCellMar>
      </w:tblPr>
      <w:tblGrid>
        <w:gridCol w:w="425"/>
        <w:gridCol w:w="6470"/>
      </w:tblGrid>
      <w:tr>
        <w:trPr/>
        <w:tc>
          <w:tcPr>
            <w:tcW w:w="425" w:type="dxa"/>
            <w:tcBorders/>
            <w:vAlign w:val="center"/>
          </w:tcPr>
          <w:p>
            <w:pPr>
              <w:pStyle w:val="TableContents"/>
              <w:bidi w:val="0"/>
              <w:spacing w:before="0" w:after="283"/>
              <w:jc w:val="left"/>
              <w:rPr/>
            </w:pPr>
            <w:r>
              <w:rPr/>
              <w:t>(10)</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Company’s closing stock price of $36.35 on September 30, 2025. </w:t>
            </w:r>
          </w:p>
        </w:tc>
      </w:tr>
    </w:tbl>
    <w:p>
      <w:pPr>
        <w:pStyle w:val="TextBody"/>
        <w:bidi w:val="0"/>
        <w:spacing w:before="480" w:after="0"/>
        <w:jc w:val="center"/>
        <w:rPr>
          <w:rFonts w:ascii="Times New Roman" w:hAnsi="Times New Roman"/>
          <w:b/>
          <w:sz w:val="20"/>
        </w:rPr>
      </w:pPr>
      <w:bookmarkStart w:id="30" w:name="toc30979_33"/>
      <w:bookmarkEnd w:id="30"/>
      <w:r>
        <w:rPr>
          <w:rFonts w:ascii="Times New Roman" w:hAnsi="Times New Roman"/>
          <w:b/>
          <w:sz w:val="20"/>
        </w:rPr>
        <w:t xml:space="preserve">Option Exercises and Stock Vested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0"/>
        <w:gridCol w:w="120"/>
        <w:gridCol w:w="341"/>
        <w:gridCol w:w="1539"/>
        <w:gridCol w:w="81"/>
        <w:gridCol w:w="163"/>
        <w:gridCol w:w="356"/>
        <w:gridCol w:w="1550"/>
        <w:gridCol w:w="60"/>
        <w:gridCol w:w="120"/>
        <w:gridCol w:w="147"/>
        <w:gridCol w:w="1973"/>
        <w:gridCol w:w="60"/>
        <w:gridCol w:w="120"/>
        <w:gridCol w:w="109"/>
        <w:gridCol w:w="1798"/>
        <w:gridCol w:w="78"/>
      </w:tblGrid>
      <w:tr>
        <w:trPr/>
        <w:tc>
          <w:tcPr>
            <w:tcW w:w="1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8" w:type="dxa"/>
            <w:tcBorders/>
            <w:vAlign w:val="center"/>
          </w:tcPr>
          <w:p>
            <w:pPr>
              <w:pStyle w:val="TableContents"/>
              <w:bidi w:val="0"/>
              <w:spacing w:before="0" w:after="283"/>
              <w:jc w:val="left"/>
              <w:rPr/>
            </w:pPr>
            <w:r>
              <w:rPr/>
              <w:t> </w:t>
            </w:r>
          </w:p>
        </w:tc>
      </w:tr>
      <w:tr>
        <w:trPr/>
        <w:tc>
          <w:tcPr>
            <w:tcW w:w="15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Acquired Upon</w:t>
              <w:br/>
              <w:t>Exercise</w:t>
              <w:br/>
              <w:t>(#)</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906" w:type="dxa"/>
            <w:gridSpan w:val="2"/>
            <w:tcBorders>
              <w:bottom w:val="single" w:sz="8" w:space="0" w:color="000000"/>
            </w:tcBorders>
            <w:tcMar>
              <w:bottom w:w="28" w:type="dxa"/>
            </w:tcMar>
            <w:vAlign w:val="center"/>
          </w:tcPr>
          <w:p>
            <w:pPr>
              <w:pStyle w:val="TableContents"/>
              <w:bidi w:val="0"/>
              <w:jc w:val="center"/>
              <w:rPr/>
            </w:pPr>
            <w:r>
              <w:rPr>
                <w:b/>
              </w:rPr>
              <w:t>Value Realized on</w:t>
            </w:r>
            <w:r>
              <w:rPr/>
              <w:t xml:space="preserve"> </w:t>
            </w:r>
          </w:p>
          <w:p>
            <w:pPr>
              <w:pStyle w:val="TableContents"/>
              <w:bidi w:val="0"/>
              <w:spacing w:lineRule="atLeast" w:line="220" w:before="0" w:after="0"/>
              <w:jc w:val="center"/>
              <w:rPr>
                <w:rFonts w:ascii="Times New Roman" w:hAnsi="Times New Roman"/>
                <w:b/>
                <w:sz w:val="16"/>
              </w:rPr>
            </w:pPr>
            <w:r>
              <w:rPr>
                <w:rFonts w:ascii="Times New Roman" w:hAnsi="Times New Roman"/>
                <w:b/>
                <w:sz w:val="16"/>
              </w:rPr>
              <w:t>Exercise</w:t>
            </w:r>
          </w:p>
          <w:p>
            <w:pPr>
              <w:pStyle w:val="TableContents"/>
              <w:bidi w:val="0"/>
              <w:spacing w:before="0" w:after="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Acquired on Vesting</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7" w:type="dxa"/>
            <w:gridSpan w:val="2"/>
            <w:tcBorders>
              <w:bottom w:val="single" w:sz="8" w:space="0" w:color="000000"/>
            </w:tcBorders>
            <w:tcMar>
              <w:bottom w:w="28" w:type="dxa"/>
            </w:tcMar>
            <w:vAlign w:val="center"/>
          </w:tcPr>
          <w:p>
            <w:pPr>
              <w:pStyle w:val="TableContents"/>
              <w:bidi w:val="0"/>
              <w:jc w:val="center"/>
              <w:rPr/>
            </w:pPr>
            <w:r>
              <w:rPr>
                <w:b/>
              </w:rPr>
              <w:t>Value Realized on</w:t>
            </w:r>
            <w:r>
              <w:rPr/>
              <w:t xml:space="preserve"> </w:t>
            </w:r>
          </w:p>
          <w:p>
            <w:pPr>
              <w:pStyle w:val="TableContents"/>
              <w:bidi w:val="0"/>
              <w:spacing w:lineRule="atLeast" w:line="160" w:before="0" w:after="0"/>
              <w:jc w:val="center"/>
              <w:rPr>
                <w:rFonts w:ascii="Times New Roman" w:hAnsi="Times New Roman"/>
                <w:b/>
                <w:sz w:val="16"/>
              </w:rPr>
            </w:pPr>
            <w:r>
              <w:rPr>
                <w:rFonts w:ascii="Times New Roman" w:hAnsi="Times New Roman"/>
                <w:b/>
                <w:sz w:val="16"/>
              </w:rPr>
              <w:t>Vesting(1)</w:t>
            </w:r>
          </w:p>
          <w:p>
            <w:pPr>
              <w:pStyle w:val="TableContents"/>
              <w:bidi w:val="0"/>
              <w:spacing w:before="0" w:after="0"/>
              <w:jc w:val="center"/>
              <w:rPr>
                <w:rFonts w:ascii="Times New Roman" w:hAnsi="Times New Roman"/>
                <w:b/>
                <w:sz w:val="16"/>
              </w:rPr>
            </w:pPr>
            <w:r>
              <w:rPr>
                <w:rFonts w:ascii="Times New Roman" w:hAnsi="Times New Roman"/>
                <w:b/>
                <w:sz w:val="16"/>
              </w:rPr>
              <w:t>($)</w:t>
            </w:r>
          </w:p>
        </w:tc>
        <w:tc>
          <w:tcPr>
            <w:tcW w:w="78"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sz w:val="4"/>
                <w:szCs w:val="4"/>
              </w:rPr>
            </w:pPr>
            <w:r>
              <w:rPr>
                <w:sz w:val="4"/>
                <w:szCs w:val="4"/>
              </w:rPr>
            </w:r>
          </w:p>
        </w:tc>
        <w:tc>
          <w:tcPr>
            <w:tcW w:w="2081"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r>
      <w:tr>
        <w:trPr/>
        <w:tc>
          <w:tcPr>
            <w:tcW w:w="1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Darcy Horn Davenport</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120,843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9,498,260</w:t>
            </w:r>
          </w:p>
        </w:tc>
        <w:tc>
          <w:tcPr>
            <w:tcW w:w="78" w:type="dxa"/>
            <w:tcBorders/>
            <w:shd w:fill="CCEEFF" w:val="clear"/>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15,366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1,095,904</w:t>
            </w:r>
          </w:p>
        </w:tc>
        <w:tc>
          <w:tcPr>
            <w:tcW w:w="78"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sz w:val="4"/>
                <w:szCs w:val="4"/>
              </w:rPr>
            </w:pPr>
            <w:r>
              <w:rPr>
                <w:sz w:val="4"/>
                <w:szCs w:val="4"/>
              </w:rPr>
            </w:r>
          </w:p>
        </w:tc>
        <w:tc>
          <w:tcPr>
            <w:tcW w:w="2081"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r>
      <w:tr>
        <w:trPr/>
        <w:tc>
          <w:tcPr>
            <w:tcW w:w="1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27,750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2,181,150</w:t>
            </w:r>
          </w:p>
        </w:tc>
        <w:tc>
          <w:tcPr>
            <w:tcW w:w="78" w:type="dxa"/>
            <w:tcBorders/>
            <w:shd w:fill="CCEEFF" w:val="clear"/>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3,529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251,688</w:t>
            </w:r>
          </w:p>
        </w:tc>
        <w:tc>
          <w:tcPr>
            <w:tcW w:w="78"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sz w:val="4"/>
                <w:szCs w:val="4"/>
              </w:rPr>
            </w:pPr>
            <w:r>
              <w:rPr>
                <w:sz w:val="4"/>
                <w:szCs w:val="4"/>
              </w:rPr>
            </w:r>
          </w:p>
        </w:tc>
        <w:tc>
          <w:tcPr>
            <w:tcW w:w="2081"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r>
      <w:tr>
        <w:trPr/>
        <w:tc>
          <w:tcPr>
            <w:tcW w:w="1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25,891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2,035,033</w:t>
            </w:r>
          </w:p>
        </w:tc>
        <w:tc>
          <w:tcPr>
            <w:tcW w:w="78" w:type="dxa"/>
            <w:tcBorders/>
            <w:shd w:fill="CCEEFF" w:val="clear"/>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3,292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234,785</w:t>
            </w:r>
          </w:p>
        </w:tc>
        <w:tc>
          <w:tcPr>
            <w:tcW w:w="78"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sz w:val="4"/>
                <w:szCs w:val="4"/>
              </w:rPr>
            </w:pPr>
            <w:r>
              <w:rPr>
                <w:sz w:val="4"/>
                <w:szCs w:val="4"/>
              </w:rPr>
            </w:r>
          </w:p>
        </w:tc>
        <w:tc>
          <w:tcPr>
            <w:tcW w:w="2081"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r>
      <w:tr>
        <w:trPr/>
        <w:tc>
          <w:tcPr>
            <w:tcW w:w="1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21,086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1,657,360</w:t>
            </w:r>
          </w:p>
        </w:tc>
        <w:tc>
          <w:tcPr>
            <w:tcW w:w="78" w:type="dxa"/>
            <w:tcBorders/>
            <w:shd w:fill="CCEEFF" w:val="clear"/>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2,681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191,209</w:t>
            </w:r>
          </w:p>
        </w:tc>
        <w:tc>
          <w:tcPr>
            <w:tcW w:w="78"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sz w:val="4"/>
                <w:szCs w:val="4"/>
              </w:rPr>
            </w:pPr>
            <w:r>
              <w:rPr>
                <w:sz w:val="4"/>
                <w:szCs w:val="4"/>
              </w:rPr>
            </w:r>
          </w:p>
        </w:tc>
        <w:tc>
          <w:tcPr>
            <w:tcW w:w="2081"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r>
      <w:tr>
        <w:trPr/>
        <w:tc>
          <w:tcPr>
            <w:tcW w:w="1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213,675</w:t>
            </w:r>
          </w:p>
        </w:tc>
        <w:tc>
          <w:tcPr>
            <w:tcW w:w="78" w:type="dxa"/>
            <w:tcBorders/>
            <w:shd w:fill="CCEEFF" w:val="clear"/>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3,556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253,614</w:t>
            </w:r>
          </w:p>
        </w:tc>
        <w:tc>
          <w:tcPr>
            <w:tcW w:w="7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625" w:type="dxa"/>
        <w:jc w:val="left"/>
        <w:tblInd w:w="0" w:type="dxa"/>
        <w:tblLayout w:type="fixed"/>
        <w:tblCellMar>
          <w:top w:w="0" w:type="dxa"/>
          <w:left w:w="0" w:type="dxa"/>
          <w:bottom w:w="0" w:type="dxa"/>
          <w:right w:w="0" w:type="dxa"/>
        </w:tblCellMar>
      </w:tblPr>
      <w:tblGrid>
        <w:gridCol w:w="305"/>
        <w:gridCol w:w="9320"/>
      </w:tblGrid>
      <w:tr>
        <w:trPr/>
        <w:tc>
          <w:tcPr>
            <w:tcW w:w="305" w:type="dxa"/>
            <w:tcBorders/>
            <w:vAlign w:val="center"/>
          </w:tcPr>
          <w:p>
            <w:pPr>
              <w:pStyle w:val="TableContents"/>
              <w:bidi w:val="0"/>
              <w:spacing w:before="0" w:after="283"/>
              <w:jc w:val="left"/>
              <w:rPr/>
            </w:pPr>
            <w:r>
              <w:rPr/>
              <w:t>(1)</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equity awards valued at the closing price of our common stock as reported on the NYSE on the date of vesting. </w:t>
            </w:r>
          </w:p>
        </w:tc>
      </w:tr>
    </w:tbl>
    <w:p>
      <w:pPr>
        <w:pStyle w:val="TextBody"/>
        <w:bidi w:val="0"/>
        <w:spacing w:before="360" w:after="0"/>
        <w:jc w:val="left"/>
        <w:rPr>
          <w:rFonts w:ascii="Times New Roman" w:hAnsi="Times New Roman"/>
          <w:b/>
          <w:sz w:val="20"/>
        </w:rPr>
      </w:pPr>
      <w:bookmarkStart w:id="31" w:name="toc30979_34"/>
      <w:bookmarkEnd w:id="31"/>
      <w:r>
        <w:rPr>
          <w:rFonts w:ascii="Times New Roman" w:hAnsi="Times New Roman"/>
          <w:b/>
          <w:sz w:val="20"/>
        </w:rPr>
        <w:t xml:space="preserve">Potential Payments Upon Termination of Employment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 involuntary termination of employment, each of our NEOs is eligible for compensation and benefits under their respective severance and change in control agreements and equity compensation award agreements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estimates of the amounts to which each NEO would be entitled to receive from the Company pursuant to his or her severance and change in control agreement and equity compensation award agreements with us and in the event of (a) the voluntary termination of the NEO’s employment or the NEO’s retirement, (b) the involuntary not for cause termination of the NEO’s employment, (c) the involuntary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the NEO’s employment in connection with a change in control, or (d) the NEO’s death or disability (in conjunction with a termination), each as if such event had occurred on September 30,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3"/>
        <w:gridCol w:w="60"/>
        <w:gridCol w:w="3271"/>
        <w:gridCol w:w="60"/>
        <w:gridCol w:w="90"/>
        <w:gridCol w:w="1205"/>
        <w:gridCol w:w="60"/>
        <w:gridCol w:w="60"/>
        <w:gridCol w:w="60"/>
        <w:gridCol w:w="1100"/>
        <w:gridCol w:w="60"/>
        <w:gridCol w:w="60"/>
        <w:gridCol w:w="60"/>
        <w:gridCol w:w="1100"/>
        <w:gridCol w:w="60"/>
        <w:gridCol w:w="60"/>
        <w:gridCol w:w="60"/>
        <w:gridCol w:w="1100"/>
        <w:gridCol w:w="76"/>
      </w:tblGrid>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Voluntary</w:t>
              <w:br/>
              <w:t>Termination</w:t>
              <w:br/>
              <w:t>or</w:t>
              <w:br/>
              <w:t>Retirement</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Involuntary</w:t>
              <w:br/>
              <w:t>Not for</w:t>
              <w:br/>
              <w:t>Cause</w:t>
              <w:br/>
              <w:t>Termination</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Change in</w:t>
              <w:br/>
              <w:t>Control</w:t>
              <w:br/>
              <w:t>followed by</w:t>
              <w:br/>
              <w:t>Involuntary</w:t>
              <w:br/>
              <w:t>Termination</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Death or</w:t>
              <w:br/>
              <w:t>Disability</w:t>
              <w:br/>
              <w:t>($)(4)</w:t>
            </w:r>
          </w:p>
        </w:tc>
        <w:tc>
          <w:tcPr>
            <w:tcW w:w="76"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6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Darcy Horn Davenport</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Cash (Salary and Bonus)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4,275,113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6,412,669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Value of Stock and Option Awards(1)</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16,992,481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23,186,340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23,186,340</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Non-qualified Deferred Compensation(2)</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819,964</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Health Benefits and Insurance</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50,926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76,389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819,964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22,138,484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30,495,362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24,006,304</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6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Rode</w:t>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Cash (Salary and Bonus)</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Value of Stock and Option Awards(1)</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5,039,550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5,039,550</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Non-qualified Deferred Compensation(2)</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201,850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201,850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201,850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201,850</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Health Benefits and Insurance</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b/>
              </w:rPr>
            </w:pPr>
            <w:r>
              <w:rPr>
                <w:b/>
              </w:rPr>
              <w:t>Total</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201,850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4,750,377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7,130,132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5,241,400</w:t>
            </w:r>
          </w:p>
        </w:tc>
        <w:tc>
          <w:tcPr>
            <w:tcW w:w="76"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6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 Cornille</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Cash (Salary and Bonus)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877,450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1,754,900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Value of Stock and Option Awards(1)</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2,554,315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3,846,266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3,846,266</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Non-qualified Deferred Compensation(2)</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124,513</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Health Benefits and Insurance</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124,513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3,565,549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5,744,221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3,970,799</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6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Cash (Salary and Bonus)</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775,547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1,551,094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Value of Stock and Option Awards(1)</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2,470,899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3,589,316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3,589,316</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Non-qualified Deferred Compensation(2)</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Health Benefits and Insurance</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b/>
              </w:rPr>
            </w:pPr>
            <w:r>
              <w:rPr>
                <w:b/>
              </w:rPr>
              <w:t>Total</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3,272,582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5,192,682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3,589,316</w:t>
            </w:r>
          </w:p>
        </w:tc>
        <w:tc>
          <w:tcPr>
            <w:tcW w:w="76"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6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Robin Singh</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pPr>
            <w:r>
              <w:rPr/>
              <w:t>Cash (Salary and Bonus)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Value of Stock and Option Awards(1)</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404,394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1,463,015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1,463,015</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Non-qualified Deferred Compensation(2)</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pPr>
            <w:r>
              <w:rPr/>
              <w:t>Health Benefits and Insurance</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21,697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1"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1,152,091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2,958,409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1,463,015</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Post option awards were valued at the closing price of Post’s common stock on September 30, 2025 of $107.48. All unvested Company PRSUs, RSUs and option awards were valued at the closing price of our common stock on September 30, 2025 of $36.35. Stock options are valued at the difference between the exercise price of the stock option and the applicable closing price on September 30, 2025. </w:t>
            </w:r>
          </w:p>
        </w:tc>
      </w:tr>
    </w:tbl>
    <w:tbl>
      <w:tblPr>
        <w:tblW w:w="5485" w:type="dxa"/>
        <w:jc w:val="left"/>
        <w:tblInd w:w="0" w:type="dxa"/>
        <w:tblLayout w:type="fixed"/>
        <w:tblCellMar>
          <w:top w:w="0" w:type="dxa"/>
          <w:left w:w="0" w:type="dxa"/>
          <w:bottom w:w="0" w:type="dxa"/>
          <w:right w:w="0" w:type="dxa"/>
        </w:tblCellMar>
      </w:tblPr>
      <w:tblGrid>
        <w:gridCol w:w="305"/>
        <w:gridCol w:w="5180"/>
      </w:tblGrid>
      <w:tr>
        <w:trPr/>
        <w:tc>
          <w:tcPr>
            <w:tcW w:w="305" w:type="dxa"/>
            <w:tcBorders/>
            <w:vAlign w:val="center"/>
          </w:tcPr>
          <w:p>
            <w:pPr>
              <w:pStyle w:val="TableContents"/>
              <w:bidi w:val="0"/>
              <w:spacing w:before="0" w:after="283"/>
              <w:jc w:val="left"/>
              <w:rPr/>
            </w:pPr>
            <w:r>
              <w:rPr/>
              <w:t>(2)</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amounts to be paid in lump sum unless otherwise specified.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accelerated pro rata vesting of: (a) Unvested Company PRSU awards granted in November 2022 at maximum performance of 260% of target based on actual performance as of September 30, 2025; (b)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Unvested Company PRSU awards granted in November 2023 at 102% of target based on actual performance as of September 30, 2025; and (c) vested stock options for all named executive officers.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accelerated vesting of: (a) Unvested Company PRSU awards granted in November 2022 at maximum performance of 260% of target based on actual performance as of September 30, 2025; (b) Unvested Company PRSU awards granted in November 2023 at 102% of target based on actual performance as of September 30, 2025; (c) Unvested Company PRSU awards granted in November 2024 at 100% of target based on actual performance below threshold as of September 30, 2025; (d) all RSUs for all named executive officers; and (e) vested stock options for all named executive officers. </w:t>
            </w:r>
          </w:p>
        </w:tc>
      </w:tr>
    </w:tbl>
    <w:p>
      <w:pPr>
        <w:pStyle w:val="TextBody"/>
        <w:bidi w:val="0"/>
        <w:spacing w:before="360" w:after="0"/>
        <w:jc w:val="left"/>
        <w:rPr>
          <w:rFonts w:ascii="Times New Roman" w:hAnsi="Times New Roman"/>
          <w:b/>
          <w:i/>
          <w:sz w:val="20"/>
        </w:rPr>
      </w:pPr>
      <w:bookmarkStart w:id="32" w:name="toc30979_35"/>
      <w:bookmarkEnd w:id="32"/>
      <w:r>
        <w:rPr>
          <w:rFonts w:ascii="Times New Roman" w:hAnsi="Times New Roman"/>
          <w:b/>
          <w:i/>
          <w:sz w:val="20"/>
        </w:rPr>
        <w:t xml:space="preserve">Potential Payments under the 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separate Severance and Change in Control Agreements with each of our named executive officers (the “Severance and CIC Agreements”). Under the Severance and CIC Agreements, all of our NEOs are eligible for severance benefits in the event his or her employment is terminated involuntarily other than for “cause.” Severance benefits relating to a termination other than for “cause” and not in connection with a “change in control” or resulting from an executive’s death or disability consist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payments equal to one times, or 1.0x (or two times, or 2.0x, in the case of Ms. Davenport), the sum of (a) executive’s base salary, plus (b) executive’s target bonus for the year in which the termination occurs (the “Standard Severance Benefits”), payable in substantially equal installments in accordance with the Company’s regular payroll practices over 12 months (or 24 months in the case of Ms. Davenport) commencing 60 days after the date of termination (each, the applicable “Standard Severance Period”);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the cost of COBRA healthcare continuation coverage for up to 12 months (24 months for Ms. Davenport).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Severance benefits relating to a termination other than for “cause” that occurs within six months before or 24 months after a “change in control” consist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two times, or 2.0x (or three times, or 3.0x, in the case of Ms. Davenport), the sum of (a) executive’s base salary, plus (b) executive’s target bonus for the year in which the termination occurs, payable within 60 days after the date of termination; provided, however, that if the change in control does not constitute a change in control within the meaning of Section 409A of the Internal Revenue Code of 1986, as amended (the “Code”), then the portion of such severance up to the amount of the Standard Severance Benefits shall be payable in equal installments in accordance with the Company’s regular payroll practices over the Standard Severance Period;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the cost of COBRA healthcare continuation coverage for up to 24 months (36 months for Ms. Davenport).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 of the foregoing severance benefits to an executive under a Severance and CIC Agreement is in each case subject to the executive entering into a customary release of claims with the Company. The Severance and CIC Agreements also provide for customary non-competition and non-solicitation restrictive covenants for the duration of the applicable Standard Severance Period. </w:t>
      </w:r>
    </w:p>
    <w:p>
      <w:pPr>
        <w:pStyle w:val="TextBody"/>
        <w:bidi w:val="0"/>
        <w:spacing w:before="240" w:after="0"/>
        <w:jc w:val="left"/>
        <w:rPr>
          <w:rFonts w:ascii="Times New Roman" w:hAnsi="Times New Roman"/>
          <w:sz w:val="20"/>
        </w:rPr>
      </w:pPr>
      <w:r>
        <w:rPr>
          <w:rFonts w:ascii="Times New Roman" w:hAnsi="Times New Roman"/>
          <w:sz w:val="20"/>
        </w:rPr>
        <w:t xml:space="preserve">Under the Severance and CIC Agreements, the following definitions apply: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means: (i) 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 (ii) the willful engaging by executive in misconduct which is materially injurious to the Company, monetarily or otherwise; or (iii) executive’s conviction of, or plea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of guilty or nolo contendere to, a felony or a crime involving moral turpitude; 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change in control” has the same definition as under the 2019 LTIP, and means, except as otherwise provided in a separate written agreement, any of the following: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230"/>
        <w:gridCol w:w="84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constitute the Board cease for any reason to constitute at least a majority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350"/>
        <w:gridCol w:w="816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direct or indirect acquisition or beneficial ownership by the Company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3"/>
        <w:gridCol w:w="9817"/>
      </w:tblGrid>
      <w:tr>
        <w:trPr/>
        <w:tc>
          <w:tcPr>
            <w:tcW w:w="75"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(C)</w:t>
            </w:r>
          </w:p>
        </w:tc>
        <w:tc>
          <w:tcPr>
            <w:tcW w:w="98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acquisition or beneficial ownership by any employee benefit plan (or related trust) sponsored or maintained by the Company or one of more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(iii)</w:t>
            </w:r>
          </w:p>
        </w:tc>
        <w:tc>
          <w:tcPr>
            <w:tcW w:w="98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reorganization, merger, share exchange or consolidation (a “Business Combination”), unless in each case following such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(A)</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(C)</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 majority of the members of the board of directors or other governing body of the entity resulting from such Business Combination were members of the Board at the time of the execution of the initial agreement, or of the action of the Board, approving such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5"/>
        <w:gridCol w:w="979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(iv)</w:t>
            </w:r>
          </w:p>
        </w:tc>
        <w:tc>
          <w:tcPr>
            <w:tcW w:w="9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sell or otherwise dispose of all or substantially all of the assets of the Company (in one transaction or a series of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(v)</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shall approve a plan to liquidate or dissolve the Company and the Company shall commence such liquidation or dissolution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 </w:t>
      </w:r>
    </w:p>
    <w:p>
      <w:pPr>
        <w:pStyle w:val="TextBody"/>
        <w:bidi w:val="0"/>
        <w:spacing w:before="360" w:after="0"/>
        <w:jc w:val="left"/>
        <w:rPr>
          <w:rFonts w:ascii="Times New Roman" w:hAnsi="Times New Roman"/>
          <w:b/>
          <w:i/>
          <w:sz w:val="20"/>
        </w:rPr>
      </w:pPr>
      <w:bookmarkStart w:id="33" w:name="toc30979_36"/>
      <w:bookmarkEnd w:id="33"/>
      <w:r>
        <w:rPr>
          <w:rFonts w:ascii="Times New Roman" w:hAnsi="Times New Roman"/>
          <w:b/>
          <w:i/>
          <w:sz w:val="20"/>
        </w:rPr>
        <w:t xml:space="preserve">Equity Grant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 (b) 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Additional vesting rules for equity awards are as follows: </w:t>
      </w:r>
    </w:p>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awards issued to officers under the 2019 LTIP vest in whole upon a termination because of death or disability.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Vested stock options granted under the 2019 LTIP will remain exercisable until the expiration of the award under its terms.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Gross-Up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Company entered into gross-up agreements with each executive officer of the Company (each, a “Gross-Up Agreement”). Pursuant to each Gross-Up Agreement, if it is determined that an officer would be subject to the excise tax imposed by Section 4999 of the Internal Revenue Code of 1986, as amended (the “Code”), as a result of any payment in the nature of compensation to or for the benefit of an officer, the Company will pay or caused to be paid to the officer a gross-up payment. The gross-up payment will be in an amount sufficient to put the officer in the same after-tax position as though the excise tax under Section 4999 of the Code did not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34" w:name="toc30979_37"/>
      <w:bookmarkEnd w:id="34"/>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None of our named executive officers has an employment agreement with the Company. </w:t>
      </w:r>
    </w:p>
    <w:p>
      <w:pPr>
        <w:pStyle w:val="TextBody"/>
        <w:bidi w:val="0"/>
        <w:spacing w:before="360" w:after="0"/>
        <w:jc w:val="left"/>
        <w:rPr>
          <w:rFonts w:ascii="Times New Roman" w:hAnsi="Times New Roman"/>
          <w:b/>
          <w:sz w:val="20"/>
        </w:rPr>
      </w:pPr>
      <w:bookmarkStart w:id="35" w:name="toc30979_38"/>
      <w:bookmarkEnd w:id="35"/>
      <w:r>
        <w:rPr>
          <w:rFonts w:ascii="Times New Roman" w:hAnsi="Times New Roman"/>
          <w:b/>
          <w:sz w:val="20"/>
        </w:rPr>
        <w:t xml:space="preserve">Director Compensation for the Fiscal Year Ended September 30, 2025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2025, all non-management directors received an annual retainer of $85,000. The chairperson of our Audit Committee receives an additional annual retainer of $20,000 and all other members of the Audit Committee receive an additional annual retainer of $10,000. The chairperson of our Corporate Governance and Compensation Committee receives an additional annual retainer of $15,000 and all other members of the Corporate Governance and Compensation Committee receives an additional annual retainer of $7,500. The independent lead director of our Board receives an additional annual retainer of $20,000.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cash compensation, all non-management directors received an annual grant in the form of RSUs with a grant date fair value of approximately $135,000 calculated in accordance with FASB ASC Topic 718. All awards fully vest on the first anniversary of the date of grant. All RSU awards fully vest at the director’s disability or death, but RSUs shall be forfeited and cancelled upon a director’s earlier resignation or removal. Directors may elect to defer settlement of RSUs until separation from service. </w:t>
      </w:r>
    </w:p>
    <w:p>
      <w:pPr>
        <w:pStyle w:val="TextBody"/>
        <w:bidi w:val="0"/>
        <w:spacing w:before="240" w:after="0"/>
        <w:jc w:val="left"/>
        <w:rPr>
          <w:rFonts w:ascii="Times New Roman" w:hAnsi="Times New Roman"/>
          <w:sz w:val="20"/>
        </w:rPr>
      </w:pPr>
      <w:r>
        <w:rPr>
          <w:rFonts w:ascii="Times New Roman" w:hAnsi="Times New Roman"/>
          <w:sz w:val="20"/>
        </w:rPr>
        <w:t xml:space="preserve">We also pay the premiums on directors’ and officers’ liability and travel accident insurance policies insuring directors. We reimburse directors for their reasonable expenses incurred in connection with attending Board meetings. </w:t>
      </w:r>
    </w:p>
    <w:p>
      <w:pPr>
        <w:pStyle w:val="TextBody"/>
        <w:bidi w:val="0"/>
        <w:spacing w:before="240" w:after="0"/>
        <w:jc w:val="left"/>
        <w:rPr>
          <w:rFonts w:ascii="Times New Roman" w:hAnsi="Times New Roman"/>
          <w:sz w:val="20"/>
        </w:rPr>
      </w:pPr>
      <w:r>
        <w:rPr>
          <w:rFonts w:ascii="Times New Roman" w:hAnsi="Times New Roman"/>
          <w:sz w:val="20"/>
        </w:rPr>
        <w:t xml:space="preserve">Under our Deferred Compensation Plan for Directors, any non-management director may elect to defer, with certain limitations, his or her cash retainer, in whole or in part. Deferred compensation may be notionally invested in BellRing common stock equivalents or in a number of mutual funds operated by The Vanguard Group Inc. with a variety of investment strategies and objectives. Deferrals in our common stock equivalents receive a 33 1/3% Company matching contribution, also credited in BellRing common stock equivalents. Balances are paid upon leaving the Board of Directors, generally in cash, in one of three ways at the election of each director: (1) lump sum payout; (2) five-year installments or (3) ten-year installments. </w:t>
      </w:r>
    </w:p>
    <w:p>
      <w:pPr>
        <w:pStyle w:val="TextBody"/>
        <w:bidi w:val="0"/>
        <w:spacing w:before="240" w:after="0"/>
        <w:jc w:val="left"/>
        <w:rPr>
          <w:rFonts w:ascii="Times New Roman" w:hAnsi="Times New Roman"/>
          <w:sz w:val="20"/>
        </w:rPr>
      </w:pPr>
      <w:r>
        <w:rPr>
          <w:rFonts w:ascii="Times New Roman" w:hAnsi="Times New Roman"/>
          <w:sz w:val="20"/>
        </w:rPr>
        <w:t xml:space="preserve">Directors who also are full-time officers or employees of the Company or Post receive no additional compensation for serving as directors. </w:t>
      </w:r>
    </w:p>
    <w:p>
      <w:pPr>
        <w:pStyle w:val="TextBody"/>
        <w:bidi w:val="0"/>
        <w:spacing w:before="240" w:after="0"/>
        <w:jc w:val="left"/>
        <w:rPr>
          <w:rFonts w:ascii="Times New Roman" w:hAnsi="Times New Roman"/>
          <w:sz w:val="20"/>
        </w:rPr>
      </w:pPr>
      <w:r>
        <w:rPr>
          <w:rFonts w:ascii="Times New Roman" w:hAnsi="Times New Roman"/>
          <w:sz w:val="20"/>
        </w:rPr>
        <w:t xml:space="preserve">We maintain stock ownership guidelines applicable to all non-management directors. See </w:t>
      </w:r>
      <w:r>
        <w:rPr>
          <w:rFonts w:ascii="Times New Roman" w:hAnsi="Times New Roman"/>
          <w:i/>
          <w:sz w:val="20"/>
        </w:rPr>
        <w:t>Other</w:t>
      </w:r>
      <w:r>
        <w:rPr>
          <w:rFonts w:ascii="Times New Roman" w:hAnsi="Times New Roman"/>
          <w:sz w:val="20"/>
        </w:rPr>
        <w:t xml:space="preserve"> </w:t>
      </w:r>
      <w:r>
        <w:rPr>
          <w:rFonts w:ascii="Times New Roman" w:hAnsi="Times New Roman"/>
          <w:i/>
          <w:sz w:val="20"/>
        </w:rPr>
        <w:t>Compensation Policies - Stock Ownership Guidelines</w:t>
      </w:r>
      <w:r>
        <w:rPr>
          <w:rFonts w:ascii="Times New Roman" w:hAnsi="Times New Roman"/>
          <w:sz w:val="20"/>
        </w:rPr>
        <w:t xml:space="preserve"> under </w:t>
      </w:r>
      <w:r>
        <w:rPr>
          <w:rFonts w:ascii="Times New Roman" w:hAnsi="Times New Roman"/>
          <w:i/>
          <w:sz w:val="20"/>
        </w:rPr>
        <w:t>Compensation Discussion</w:t>
      </w:r>
      <w:r>
        <w:rPr>
          <w:rFonts w:ascii="Times New Roman" w:hAnsi="Times New Roman"/>
          <w:sz w:val="20"/>
        </w:rPr>
        <w:t xml:space="preserve"> for more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compensation paid to non-management directors for fiscal year 2025, other than reimbursement for travel expenses. </w:t>
      </w:r>
    </w:p>
    <w:p>
      <w:pPr>
        <w:pStyle w:val="TextBody"/>
        <w:bidi w:val="0"/>
        <w:spacing w:before="0" w:after="0"/>
        <w:jc w:val="left"/>
        <w:rPr/>
      </w:pPr>
      <w:r>
        <w:rPr/>
        <w:t> </w:t>
      </w:r>
    </w:p>
    <w:tbl>
      <w:tblPr>
        <w:tblW w:w="9109" w:type="dxa"/>
        <w:jc w:val="left"/>
        <w:tblInd w:w="0" w:type="dxa"/>
        <w:tblLayout w:type="fixed"/>
        <w:tblCellMar>
          <w:top w:w="0" w:type="dxa"/>
          <w:left w:w="0" w:type="dxa"/>
          <w:bottom w:w="0" w:type="dxa"/>
          <w:right w:w="0" w:type="dxa"/>
        </w:tblCellMar>
      </w:tblPr>
      <w:tblGrid>
        <w:gridCol w:w="2285"/>
        <w:gridCol w:w="120"/>
        <w:gridCol w:w="60"/>
        <w:gridCol w:w="800"/>
        <w:gridCol w:w="60"/>
        <w:gridCol w:w="120"/>
        <w:gridCol w:w="60"/>
        <w:gridCol w:w="800"/>
        <w:gridCol w:w="60"/>
        <w:gridCol w:w="120"/>
        <w:gridCol w:w="155"/>
        <w:gridCol w:w="675"/>
        <w:gridCol w:w="60"/>
        <w:gridCol w:w="120"/>
        <w:gridCol w:w="197"/>
        <w:gridCol w:w="858"/>
        <w:gridCol w:w="60"/>
        <w:gridCol w:w="120"/>
        <w:gridCol w:w="102"/>
        <w:gridCol w:w="1162"/>
        <w:gridCol w:w="60"/>
        <w:gridCol w:w="120"/>
        <w:gridCol w:w="60"/>
        <w:gridCol w:w="800"/>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w:t>
              <w:br/>
              <w:t>or Paid</w:t>
              <w:br/>
              <w:t>in Cash</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Stock</w:t>
              <w:br/>
              <w:t>Awards</w:t>
              <w:b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Non-Qualified</w:t>
              <w:br/>
              <w:t>Deferred</w:t>
              <w:br/>
              <w:t>Compensation</w:t>
              <w:br/>
              <w:t>Earnings(3)</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All Other</w:t>
              <w:br/>
              <w:t>Compensation(4)</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V. Vitale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134,989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43,746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309,985</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Shawn W. Conway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92,083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30,691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257,763</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Thomas P. Erickson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112,083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134,989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37,357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284,429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Kuperman Johnson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29,580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253,319</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Chonda J. Nwamu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134,989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30,414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256,653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Elliot H. Stein, Jr.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263,433</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1,724 RSUs granted on January 29, 2025 to each of our non-management directors. The grant date fair values are computed in accordance with FASB ASC Topic 718, and do not correspond to the actual values that will be realized by the non-management directors. See Note 15 to the Company’s fiscal year 2025 financial statements beginning on page 62 in the Company’s Annual Report on Form 10-K for a discussion of the determination of these amounts under FASB ASC Topic 718. The awards granted on January 29, 2025 to each of our non-management directors fully vest on the first anniversary of the date of grant. The common stock issued pursuant to all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 </w:t>
            </w:r>
          </w:p>
        </w:tc>
      </w:tr>
    </w:tbl>
    <w:tbl>
      <w:tblPr>
        <w:tblW w:w="7900" w:type="dxa"/>
        <w:jc w:val="left"/>
        <w:tblInd w:w="0" w:type="dxa"/>
        <w:tblLayout w:type="fixed"/>
        <w:tblCellMar>
          <w:top w:w="0" w:type="dxa"/>
          <w:left w:w="0" w:type="dxa"/>
          <w:bottom w:w="0" w:type="dxa"/>
          <w:right w:w="0" w:type="dxa"/>
        </w:tblCellMar>
      </w:tblPr>
      <w:tblGrid>
        <w:gridCol w:w="305"/>
        <w:gridCol w:w="7595"/>
      </w:tblGrid>
      <w:tr>
        <w:trPr/>
        <w:tc>
          <w:tcPr>
            <w:tcW w:w="305" w:type="dxa"/>
            <w:tcBorders/>
            <w:vAlign w:val="center"/>
          </w:tcPr>
          <w:p>
            <w:pPr>
              <w:pStyle w:val="TableContents"/>
              <w:bidi w:val="0"/>
              <w:spacing w:before="0" w:after="283"/>
              <w:jc w:val="left"/>
              <w:rPr/>
            </w:pPr>
            <w:r>
              <w:rPr/>
              <w:t>(2)</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each of our non-management directors held 1,724 unvested RSUs.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reflect that there were no earnings on the respective non-management director’s account under our Deferred Compensation Plan for Directors for all non-management directors who elected to participate in the plan. In fiscal year 2025, Mr. Vitale, Mr. Conway, Mr. Erickson, Ms. Kuperman Johnson, Ms. Nwamu and Mr. Stein realized losses of $51,585, $86,612, $478,419, $389,449, $199,307 and $41,393 on their respective accounts under our Deferred Compensation Plan for Directors.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33 1/3% match on deferrals into common stock equivalents under the Deferred Compensation Plan for Directors for all non-management directors who elected to participate in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30979_39"/>
      <w:bookmarkEnd w:id="36"/>
      <w:r>
        <w:rPr>
          <w:rFonts w:ascii="Times New Roman" w:hAnsi="Times New Roman"/>
          <w:b/>
          <w:sz w:val="20"/>
        </w:rPr>
        <w:t xml:space="preserve">CEO PAY RATIO </w:t>
      </w:r>
    </w:p>
    <w:p>
      <w:pPr>
        <w:pStyle w:val="TextBody"/>
        <w:bidi w:val="0"/>
        <w:spacing w:before="240" w:after="0"/>
        <w:jc w:val="left"/>
        <w:rPr>
          <w:rFonts w:ascii="Times New Roman" w:hAnsi="Times New Roman"/>
          <w:sz w:val="20"/>
        </w:rPr>
      </w:pPr>
      <w:r>
        <w:rPr>
          <w:rFonts w:ascii="Times New Roman" w:hAnsi="Times New Roman"/>
          <w:sz w:val="20"/>
        </w:rPr>
        <w:t xml:space="preserve">Pursuant to Item 402(u) of Regulation S-K, the Company is required to disclose the ratio of the annual total compensation of our Chief Executive Officer to the annual total compensation of the median employee of the Company for fiscal year 2025. The annual total compensation of our median employee was $137,702. The annual total compensation of our Chief Executive Officer was $6,583,496. The ratio of our Chief Executive Officer’s annual total compensation to the median employee’s annual total compensation was 48 to 1. </w:t>
      </w:r>
    </w:p>
    <w:p>
      <w:pPr>
        <w:pStyle w:val="TextBody"/>
        <w:bidi w:val="0"/>
        <w:spacing w:before="240" w:after="0"/>
        <w:jc w:val="left"/>
        <w:rPr>
          <w:rFonts w:ascii="Times New Roman" w:hAnsi="Times New Roman"/>
          <w:sz w:val="20"/>
        </w:rPr>
      </w:pPr>
      <w:r>
        <w:rPr>
          <w:rFonts w:ascii="Times New Roman" w:hAnsi="Times New Roman"/>
          <w:sz w:val="20"/>
        </w:rPr>
        <w:t xml:space="preserve">The annual total compensation of our median employee and our Chief Executive Officer as set forth in the paragraph above includes the value of employer-provided health and welfare benefits in the amount of $4,821 and $19,957, respectively, that are not included in the Chief Executive Officer’s total compensation in the </w:t>
      </w:r>
      <w:r>
        <w:rPr>
          <w:rFonts w:ascii="Times New Roman" w:hAnsi="Times New Roman"/>
          <w:i/>
          <w:sz w:val="20"/>
        </w:rPr>
        <w:t xml:space="preserve">Summary Compensation Table </w:t>
      </w:r>
      <w:r>
        <w:rPr>
          <w:rFonts w:ascii="Times New Roman" w:hAnsi="Times New Roman"/>
          <w:sz w:val="20"/>
        </w:rPr>
        <w:t xml:space="preserve">above. </w:t>
      </w:r>
    </w:p>
    <w:p>
      <w:pPr>
        <w:pStyle w:val="TextBody"/>
        <w:bidi w:val="0"/>
        <w:spacing w:before="240" w:after="0"/>
        <w:jc w:val="left"/>
        <w:rPr>
          <w:rFonts w:ascii="Times New Roman" w:hAnsi="Times New Roman"/>
          <w:sz w:val="20"/>
        </w:rPr>
      </w:pPr>
      <w:r>
        <w:rPr>
          <w:rFonts w:ascii="Times New Roman" w:hAnsi="Times New Roman"/>
          <w:sz w:val="20"/>
        </w:rPr>
        <w:t xml:space="preserve">We used the following methodology and material assumptions to identify our median employee in fiscal year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median employee was identified using employee information as of July 1, 2025, excluding our Chief Executive Officer, of approximately 531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used base pay as the consistently applied compensation measure to identify our new median employee. From our employee population, we collected additional compensation data for a group of employees who were paid within a relatively narrow range around our estimated median’s consistently applied compensation measure. From this group, we selected an employee who was reasonably representative of our workforce to be our new median employee.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30979_40"/>
      <w:bookmarkEnd w:id="37"/>
      <w:r>
        <w:rPr>
          <w:rFonts w:ascii="Times New Roman" w:hAnsi="Times New Roman"/>
          <w:b/>
          <w:sz w:val="20"/>
        </w:rPr>
        <w:t xml:space="preserve">SECURITY OWNERSHIP OF CERTAIN STOCKHOLDERS </w:t>
      </w:r>
    </w:p>
    <w:p>
      <w:pPr>
        <w:pStyle w:val="TextBody"/>
        <w:bidi w:val="0"/>
        <w:spacing w:before="240" w:after="0"/>
        <w:jc w:val="left"/>
        <w:rPr>
          <w:rFonts w:ascii="Times New Roman" w:hAnsi="Times New Roman"/>
          <w:b/>
          <w:sz w:val="20"/>
        </w:rPr>
      </w:pPr>
      <w:bookmarkStart w:id="38" w:name="toc30979_41"/>
      <w:bookmarkEnd w:id="38"/>
      <w:r>
        <w:rPr>
          <w:rFonts w:ascii="Times New Roman" w:hAnsi="Times New Roman"/>
          <w:b/>
          <w:sz w:val="20"/>
        </w:rPr>
        <w:t xml:space="preserve">Security Ownership of Certain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indicates the persons or entities known to us to be the beneficial holders of more than 5% of our common stock, each par value $0.01 per share, as of November 14, 2025 and based on 119,672,080 issued and outstanding shares as of such date.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 </w:t>
      </w:r>
    </w:p>
    <w:p>
      <w:pPr>
        <w:pStyle w:val="TextBody"/>
        <w:bidi w:val="0"/>
        <w:spacing w:before="0" w:after="0"/>
        <w:jc w:val="left"/>
        <w:rPr/>
      </w:pPr>
      <w:r>
        <w:rPr/>
        <w:t> </w:t>
      </w:r>
    </w:p>
    <w:tbl>
      <w:tblPr>
        <w:tblW w:w="6994" w:type="dxa"/>
        <w:jc w:val="left"/>
        <w:tblInd w:w="0" w:type="dxa"/>
        <w:tblLayout w:type="fixed"/>
        <w:tblCellMar>
          <w:top w:w="0" w:type="dxa"/>
          <w:left w:w="0" w:type="dxa"/>
          <w:bottom w:w="0" w:type="dxa"/>
          <w:right w:w="0" w:type="dxa"/>
        </w:tblCellMar>
      </w:tblPr>
      <w:tblGrid>
        <w:gridCol w:w="3485"/>
        <w:gridCol w:w="120"/>
        <w:gridCol w:w="97"/>
        <w:gridCol w:w="1783"/>
        <w:gridCol w:w="60"/>
        <w:gridCol w:w="120"/>
        <w:gridCol w:w="123"/>
        <w:gridCol w:w="916"/>
        <w:gridCol w:w="290"/>
      </w:tblGrid>
      <w:tr>
        <w:trPr/>
        <w:tc>
          <w:tcPr>
            <w:tcW w:w="3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Address of Beneficial Owner of Class</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Percentage(4)</w:t>
            </w:r>
          </w:p>
        </w:tc>
        <w:tc>
          <w:tcPr>
            <w:tcW w:w="29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1449" w:type="dxa"/>
            <w:gridSpan w:val="4"/>
            <w:tcBorders/>
            <w:vAlign w:val="center"/>
          </w:tcPr>
          <w:p>
            <w:pPr>
              <w:pStyle w:val="TableContents"/>
              <w:bidi w:val="0"/>
              <w:spacing w:before="0" w:after="283"/>
              <w:jc w:val="left"/>
              <w:rPr>
                <w:sz w:val="4"/>
                <w:szCs w:val="4"/>
              </w:rPr>
            </w:pPr>
            <w:r>
              <w:rPr>
                <w:sz w:val="4"/>
                <w:szCs w:val="4"/>
              </w:rPr>
            </w:r>
          </w:p>
        </w:tc>
      </w:tr>
      <w:tr>
        <w:trPr/>
        <w:tc>
          <w:tcPr>
            <w:tcW w:w="3485"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Vanguard Group, Inc.(1)</w:t>
            </w:r>
          </w:p>
          <w:p>
            <w:pPr>
              <w:pStyle w:val="TableContents"/>
              <w:bidi w:val="0"/>
              <w:spacing w:before="0" w:after="0"/>
              <w:jc w:val="left"/>
              <w:rPr>
                <w:rFonts w:ascii="Times New Roman" w:hAnsi="Times New Roman"/>
                <w:sz w:val="20"/>
              </w:rPr>
            </w:pPr>
            <w:r>
              <w:rPr>
                <w:rFonts w:ascii="Times New Roman" w:hAnsi="Times New Roman"/>
                <w:sz w:val="20"/>
              </w:rPr>
              <w:t>P.O. Box 2600 V26</w:t>
            </w:r>
          </w:p>
          <w:p>
            <w:pPr>
              <w:pStyle w:val="TableContents"/>
              <w:bidi w:val="0"/>
              <w:spacing w:before="0" w:after="20"/>
              <w:jc w:val="left"/>
              <w:rPr>
                <w:rFonts w:ascii="Times New Roman" w:hAnsi="Times New Roman"/>
                <w:sz w:val="20"/>
              </w:rPr>
            </w:pPr>
            <w:r>
              <w:rPr>
                <w:rFonts w:ascii="Times New Roman" w:hAnsi="Times New Roman"/>
                <w:sz w:val="20"/>
              </w:rPr>
              <w:t>Valley Forge, Pennsylvania 19482</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13,302,901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11.1</w:t>
            </w:r>
          </w:p>
        </w:tc>
        <w:tc>
          <w:tcPr>
            <w:tcW w:w="290" w:type="dxa"/>
            <w:tcBorders/>
            <w:shd w:fill="CCEEFF" w:val="cle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1449" w:type="dxa"/>
            <w:gridSpan w:val="4"/>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BlackRock, Inc.(2)</w:t>
            </w:r>
          </w:p>
          <w:p>
            <w:pPr>
              <w:pStyle w:val="TableContents"/>
              <w:bidi w:val="0"/>
              <w:spacing w:before="0" w:after="0"/>
              <w:jc w:val="left"/>
              <w:rPr>
                <w:rFonts w:ascii="Times New Roman" w:hAnsi="Times New Roman"/>
                <w:sz w:val="20"/>
              </w:rPr>
            </w:pPr>
            <w:r>
              <w:rPr>
                <w:rFonts w:ascii="Times New Roman" w:hAnsi="Times New Roman"/>
                <w:sz w:val="20"/>
              </w:rPr>
              <w:t>55 East 52nd Street</w:t>
            </w:r>
          </w:p>
          <w:p>
            <w:pPr>
              <w:pStyle w:val="TableContents"/>
              <w:bidi w:val="0"/>
              <w:spacing w:before="0" w:after="20"/>
              <w:jc w:val="left"/>
              <w:rPr>
                <w:rFonts w:ascii="Times New Roman" w:hAnsi="Times New Roman"/>
                <w:sz w:val="20"/>
              </w:rPr>
            </w:pPr>
            <w:r>
              <w:rPr>
                <w:rFonts w:ascii="Times New Roman" w:hAnsi="Times New Roman"/>
                <w:sz w:val="20"/>
              </w:rPr>
              <w:t>New York, New York 10055</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11,483,571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9.6</w:t>
            </w:r>
          </w:p>
        </w:tc>
        <w:tc>
          <w:tcPr>
            <w:tcW w:w="29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1449" w:type="dxa"/>
            <w:gridSpan w:val="4"/>
            <w:tcBorders/>
            <w:vAlign w:val="center"/>
          </w:tcPr>
          <w:p>
            <w:pPr>
              <w:pStyle w:val="TableContents"/>
              <w:bidi w:val="0"/>
              <w:spacing w:before="0" w:after="283"/>
              <w:jc w:val="left"/>
              <w:rPr>
                <w:sz w:val="4"/>
                <w:szCs w:val="4"/>
              </w:rPr>
            </w:pPr>
            <w:r>
              <w:rPr>
                <w:sz w:val="4"/>
                <w:szCs w:val="4"/>
              </w:rPr>
            </w:r>
          </w:p>
        </w:tc>
      </w:tr>
      <w:tr>
        <w:trPr/>
        <w:tc>
          <w:tcPr>
            <w:tcW w:w="3485"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Wasatch Advisors LP(3)</w:t>
            </w:r>
          </w:p>
          <w:p>
            <w:pPr>
              <w:pStyle w:val="TableContents"/>
              <w:bidi w:val="0"/>
              <w:spacing w:before="0" w:after="0"/>
              <w:jc w:val="left"/>
              <w:rPr>
                <w:rFonts w:ascii="Times New Roman" w:hAnsi="Times New Roman"/>
                <w:sz w:val="20"/>
              </w:rPr>
            </w:pPr>
            <w:r>
              <w:rPr>
                <w:rFonts w:ascii="Times New Roman" w:hAnsi="Times New Roman"/>
                <w:sz w:val="20"/>
              </w:rPr>
              <w:t>505 Wakara Way</w:t>
            </w:r>
          </w:p>
          <w:p>
            <w:pPr>
              <w:pStyle w:val="TableContents"/>
              <w:bidi w:val="0"/>
              <w:spacing w:before="0" w:after="20"/>
              <w:jc w:val="left"/>
              <w:rPr>
                <w:rFonts w:ascii="Times New Roman" w:hAnsi="Times New Roman"/>
                <w:sz w:val="20"/>
              </w:rPr>
            </w:pPr>
            <w:r>
              <w:rPr>
                <w:rFonts w:ascii="Times New Roman" w:hAnsi="Times New Roman"/>
                <w:sz w:val="20"/>
              </w:rPr>
              <w:t>Salt Lake City, Utah 84108</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6,750,018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set forth in the table reflect the number of shares beneficially owned as of September 30, 2024, based on a Form 13F-HR dated November 13, 2024, filed by Vanguard Group, Inc. According to the Form 13F-HR, Vanguard Group, Inc. exercises sole investment power with respect to 13,109,347 shares, shared-defined investment power with respect to 193,554 shares, shared voting power with respect to 45,366 shares and no voting power with respect to 13,257,535 shares.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set forth in the table reflect the number of shares beneficially owned as of September 30, 2024, based on a Schedule 13G/A dated November 8, 2024, filed by BlackRock, Inc. According to the Schedule 13G/A, BlackRock, Inc. exercises sole investment power with respect to all shares and has sole voting power with respect to 11,167,253 shares and no voting power with respect to 316,318.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set forth in the table reflect the number of shares beneficially owned as of September 30, 2025, based on a Schedule 13G/A dated November 13, 2025, filed by Wasatch Advisors LP. According to the Schedule 13G/A, Wasatch Advisors LP exercises sole investment power with respect to all shares and sole voting power with respect to 4,693,062 shares.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common stock beneficially owned was calculated based upon 128,874,841 shares of common stock issued and outstanding as of November 14, 2025, plus the number of vested RSUs deferred by certain directors until retirement from the BellRing Board of Directors (75,180 shares), plus the number of common shares which could be acquired upon the exercise of vested options, or options that vest within 60 days of that date (258,987 shares), by all directors, director nominees and executive officers. </w:t>
            </w:r>
          </w:p>
        </w:tc>
      </w:tr>
    </w:tbl>
    <w:p>
      <w:pPr>
        <w:pStyle w:val="TextBody"/>
        <w:bidi w:val="0"/>
        <w:spacing w:before="360" w:after="0"/>
        <w:jc w:val="left"/>
        <w:rPr>
          <w:rFonts w:ascii="Times New Roman" w:hAnsi="Times New Roman"/>
          <w:b/>
          <w:sz w:val="20"/>
        </w:rPr>
      </w:pPr>
      <w:bookmarkStart w:id="39" w:name="toc30979_42"/>
      <w:bookmarkEnd w:id="39"/>
      <w:r>
        <w:rPr>
          <w:rFonts w:ascii="Times New Roman" w:hAnsi="Times New Roman"/>
          <w:b/>
          <w:sz w:val="20"/>
        </w:rPr>
        <w:t xml:space="preserve">Security Ownership of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shares of our common stock beneficially owned, as of November 14, 2025,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to vote or transfer, and options or other equity awards that are vested and exercisable or that become </w:t>
      </w:r>
    </w:p>
    <w:p>
      <w:pPr>
        <w:pStyle w:val="TextBody"/>
        <w:bidi w:val="0"/>
        <w:spacing w:before="0" w:after="0"/>
        <w:jc w:val="left"/>
        <w:rPr>
          <w:rFonts w:ascii="Times New Roman" w:hAnsi="Times New Roman"/>
          <w:sz w:val="20"/>
        </w:rPr>
      </w:pPr>
      <w:r>
        <w:rPr>
          <w:rFonts w:ascii="Times New Roman" w:hAnsi="Times New Roman"/>
          <w:sz w:val="20"/>
        </w:rPr>
        <w:t xml:space="preserve">vested and/or exercisable within 60 days. An asterisk in the column listing the percentage of shares outstanding indicates that the person owns less than 1% of the common stock outstanding.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06"/>
        <w:gridCol w:w="60"/>
        <w:gridCol w:w="78"/>
        <w:gridCol w:w="1112"/>
        <w:gridCol w:w="233"/>
        <w:gridCol w:w="60"/>
        <w:gridCol w:w="155"/>
        <w:gridCol w:w="675"/>
        <w:gridCol w:w="60"/>
        <w:gridCol w:w="60"/>
        <w:gridCol w:w="60"/>
        <w:gridCol w:w="800"/>
        <w:gridCol w:w="60"/>
        <w:gridCol w:w="60"/>
        <w:gridCol w:w="60"/>
        <w:gridCol w:w="980"/>
        <w:gridCol w:w="60"/>
        <w:gridCol w:w="60"/>
        <w:gridCol w:w="292"/>
        <w:gridCol w:w="1558"/>
        <w:gridCol w:w="275"/>
        <w:gridCol w:w="60"/>
        <w:gridCol w:w="60"/>
        <w:gridCol w:w="680"/>
        <w:gridCol w:w="60"/>
        <w:gridCol w:w="60"/>
        <w:gridCol w:w="66"/>
        <w:gridCol w:w="1079"/>
        <w:gridCol w:w="76"/>
      </w:tblGrid>
      <w:tr>
        <w:trPr/>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br/>
              <w:t>Vesting</w:t>
              <w:br/>
              <w:t>Within</w:t>
              <w:br/>
              <w:t>60 Days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Exercisable</w:t>
              <w:br/>
              <w:t xml:space="preserve">Options(1)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 of Shares Outstanding</w:t>
              <w:br/>
              <w:t>(2)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Other</w:t>
              <w:br/>
              <w:t>Stock-</w:t>
              <w:br/>
              <w:t>Based</w:t>
              <w:br/>
              <w:t>Items(4)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Stock-</w:t>
              <w:br/>
              <w:t>Based</w:t>
              <w:br/>
              <w:t>Ownership</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Robert V. Vitale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1,100,237</w:t>
            </w:r>
          </w:p>
        </w:tc>
        <w:tc>
          <w:tcPr>
            <w:tcW w:w="233" w:type="dxa"/>
            <w:tcBorders/>
            <w:shd w:fill="CCEEFF" w:val="clear"/>
            <w:vAlign w:val="center"/>
          </w:tcPr>
          <w:p>
            <w:pPr>
              <w:pStyle w:val="TableContents"/>
              <w:bidi w:val="0"/>
              <w:spacing w:lineRule="atLeast" w:line="220" w:before="0" w:after="0"/>
              <w:jc w:val="left"/>
              <w:rPr>
                <w:rFonts w:ascii="Times New Roman" w:hAnsi="Times New Roman"/>
                <w:sz w:val="19"/>
              </w:rPr>
            </w:pPr>
            <w:r>
              <w:rPr>
                <w:rFonts w:ascii="Times New Roman" w:hAnsi="Times New Roman"/>
                <w:sz w:val="19"/>
              </w:rPr>
              <w:t>(5)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1,103,632</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Darcy Horn Davenport</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148,973</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193,577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342,550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342,550</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Shawn W. Conway</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6,277</w:t>
            </w:r>
          </w:p>
        </w:tc>
        <w:tc>
          <w:tcPr>
            <w:tcW w:w="233" w:type="dxa"/>
            <w:tcBorders/>
            <w:shd w:fill="CCEEFF" w:val="clear"/>
            <w:vAlign w:val="center"/>
          </w:tcPr>
          <w:p>
            <w:pPr>
              <w:pStyle w:val="TableContents"/>
              <w:bidi w:val="0"/>
              <w:spacing w:lineRule="atLeast" w:line="220" w:before="0" w:after="0"/>
              <w:jc w:val="left"/>
              <w:rPr>
                <w:rFonts w:ascii="Times New Roman" w:hAnsi="Times New Roman"/>
                <w:sz w:val="19"/>
              </w:rPr>
            </w:pPr>
            <w:r>
              <w:rPr>
                <w:rFonts w:ascii="Times New Roman" w:hAnsi="Times New Roman"/>
                <w:sz w:val="19"/>
              </w:rPr>
              <w:t>(6)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10,343</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Thomas P. Erickson</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21,437</w:t>
            </w:r>
          </w:p>
        </w:tc>
        <w:tc>
          <w:tcPr>
            <w:tcW w:w="233"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20,317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41,754</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David I. Finkelstein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pPr>
            <w:r>
              <w:rPr/>
              <w:t>— </w:t>
            </w:r>
          </w:p>
        </w:tc>
        <w:tc>
          <w:tcPr>
            <w:tcW w:w="233" w:type="dxa"/>
            <w:tcBorders/>
            <w:shd w:fill="CCEEFF" w:val="clear"/>
            <w:vAlign w:val="center"/>
          </w:tcPr>
          <w:p>
            <w:pPr>
              <w:pStyle w:val="TableContents"/>
              <w:bidi w:val="0"/>
              <w:spacing w:lineRule="atLeast" w:line="28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Jennifer Kuperman Johnson</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20,183</w:t>
            </w:r>
          </w:p>
        </w:tc>
        <w:tc>
          <w:tcPr>
            <w:tcW w:w="233"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16,451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36,634</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Chonda J. Nwamu</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14,582</w:t>
            </w:r>
          </w:p>
        </w:tc>
        <w:tc>
          <w:tcPr>
            <w:tcW w:w="233" w:type="dxa"/>
            <w:tcBorders/>
            <w:shd w:fill="CCEEFF" w:val="clear"/>
            <w:vAlign w:val="center"/>
          </w:tcPr>
          <w:p>
            <w:pPr>
              <w:pStyle w:val="TableContents"/>
              <w:bidi w:val="0"/>
              <w:spacing w:lineRule="atLeast" w:line="220" w:before="0" w:after="0"/>
              <w:jc w:val="left"/>
              <w:rPr>
                <w:rFonts w:ascii="Times New Roman" w:hAnsi="Times New Roman"/>
                <w:sz w:val="19"/>
              </w:rPr>
            </w:pPr>
            <w:r>
              <w:rPr>
                <w:rFonts w:ascii="Times New Roman" w:hAnsi="Times New Roman"/>
                <w:sz w:val="19"/>
              </w:rPr>
              <w:t>(7)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23,242</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Elliot H. Stein, Jr.</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29,844</w:t>
            </w:r>
          </w:p>
        </w:tc>
        <w:tc>
          <w:tcPr>
            <w:tcW w:w="233"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29,844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31,629</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Paul A. Rode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57,197</w:t>
            </w:r>
          </w:p>
        </w:tc>
        <w:tc>
          <w:tcPr>
            <w:tcW w:w="233" w:type="dxa"/>
            <w:tcBorders/>
            <w:shd w:fill="CCEEFF" w:val="clear"/>
            <w:vAlign w:val="center"/>
          </w:tcPr>
          <w:p>
            <w:pPr>
              <w:pStyle w:val="TableContents"/>
              <w:bidi w:val="0"/>
              <w:spacing w:lineRule="atLeast" w:line="28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95,847</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Douglas J. Cornille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39,298</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39,298</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Craig L. Rosenthal</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63,503</w:t>
            </w:r>
          </w:p>
        </w:tc>
        <w:tc>
          <w:tcPr>
            <w:tcW w:w="233" w:type="dxa"/>
            <w:tcBorders/>
            <w:shd w:fill="CCEEFF" w:val="clear"/>
            <w:vAlign w:val="center"/>
          </w:tcPr>
          <w:p>
            <w:pPr>
              <w:pStyle w:val="TableContents"/>
              <w:bidi w:val="0"/>
              <w:spacing w:lineRule="atLeast" w:line="220" w:before="0" w:after="0"/>
              <w:jc w:val="left"/>
              <w:rPr>
                <w:rFonts w:ascii="Times New Roman" w:hAnsi="Times New Roman"/>
                <w:sz w:val="19"/>
              </w:rPr>
            </w:pPr>
            <w:r>
              <w:rPr>
                <w:rFonts w:ascii="Times New Roman" w:hAnsi="Times New Roman"/>
                <w:sz w:val="19"/>
              </w:rPr>
              <w:t>(9)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79,263</w:t>
            </w:r>
          </w:p>
        </w:tc>
        <w:tc>
          <w:tcPr>
            <w:tcW w:w="76" w:type="dxa"/>
            <w:tcBorders/>
            <w:shd w:fill="CCEEFF"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Robin Singh</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18,570</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18,570</w:t>
            </w:r>
          </w:p>
        </w:tc>
        <w:tc>
          <w:tcPr>
            <w:tcW w:w="76"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81" w:type="dxa"/>
            <w:gridSpan w:val="4"/>
            <w:tcBorders/>
            <w:vAlign w:val="center"/>
          </w:tcPr>
          <w:p>
            <w:pPr>
              <w:pStyle w:val="TableContents"/>
              <w:bidi w:val="0"/>
              <w:spacing w:before="0" w:after="283"/>
              <w:jc w:val="left"/>
              <w:rPr>
                <w:sz w:val="4"/>
                <w:szCs w:val="4"/>
              </w:rPr>
            </w:pPr>
            <w:r>
              <w:rPr>
                <w:sz w:val="4"/>
                <w:szCs w:val="4"/>
              </w:rPr>
            </w:r>
          </w:p>
        </w:tc>
      </w:tr>
      <w:tr>
        <w:trPr/>
        <w:tc>
          <w:tcPr>
            <w:tcW w:w="130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All directors and executive officers as a group (10 people)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lineRule="atLeast" w:line="280" w:before="0" w:after="0"/>
              <w:jc w:val="left"/>
              <w:rPr/>
            </w:pPr>
            <w:r>
              <w:rPr/>
              <w:t> </w:t>
            </w:r>
          </w:p>
        </w:tc>
        <w:tc>
          <w:tcPr>
            <w:tcW w:w="1112" w:type="dxa"/>
            <w:tcBorders/>
            <w:shd w:fill="CCEEFF" w:val="clear"/>
            <w:vAlign w:val="center"/>
          </w:tcPr>
          <w:p>
            <w:pPr>
              <w:pStyle w:val="TableContents"/>
              <w:bidi w:val="0"/>
              <w:spacing w:lineRule="atLeast" w:line="280" w:before="0" w:after="0"/>
              <w:jc w:val="right"/>
              <w:rPr>
                <w:rFonts w:ascii="Times New Roman" w:hAnsi="Times New Roman"/>
                <w:sz w:val="19"/>
              </w:rPr>
            </w:pPr>
            <w:r>
              <w:rPr>
                <w:rFonts w:ascii="Times New Roman" w:hAnsi="Times New Roman"/>
                <w:sz w:val="19"/>
              </w:rPr>
              <w:t>1,520,101</w:t>
            </w:r>
          </w:p>
        </w:tc>
        <w:tc>
          <w:tcPr>
            <w:tcW w:w="233" w:type="dxa"/>
            <w:tcBorders/>
            <w:shd w:fill="CCEEFF" w:val="clear"/>
            <w:vAlign w:val="center"/>
          </w:tcPr>
          <w:p>
            <w:pPr>
              <w:pStyle w:val="TableContents"/>
              <w:bidi w:val="0"/>
              <w:spacing w:lineRule="atLeast" w:line="28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247,987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1,768,088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1,822,762</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number of shares which could be acquired upon the exercise of vested options, or options that vest within 60 days of November 14, 2025, by all directors, director nominees and executive officers.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outstanding for purposes of this calculation for each individual was the number of shares outstanding as of November 14, 2025 (119,728,286 shares), plus the number of RSUs that vest within 60 days of that date for such individual, plus the number of shares which could be acquired upon the exercise of vested options, or options that vest within 60 days of that date, by such individual.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outstanding for purposes of this calculation for all directors, director nominees and executive officers as a group was the number of shares outstanding as of November 14, 2025 (119,728,286 shares), plus the number of RSUs that vest within 60 days of that date (0 shares), plus the number of vested RSUs deferred by certain directors until retirement from the Board of Directors (79,991 RSUs), plus the number of shares which could be acquired upon the exercise of vested options, or options that vest within 60 days of that date (247,987 shares), by all directors, director nominees and executive officers.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132,483 shares held in trusts for the benefit of Mr. Vitale’s family and 166,021 shares held in a trust for the benefit of his spouse. </w:t>
            </w:r>
          </w:p>
        </w:tc>
      </w:tr>
    </w:tbl>
    <w:tbl>
      <w:tblPr>
        <w:tblW w:w="9190" w:type="dxa"/>
        <w:jc w:val="left"/>
        <w:tblInd w:w="0" w:type="dxa"/>
        <w:tblLayout w:type="fixed"/>
        <w:tblCellMar>
          <w:top w:w="0" w:type="dxa"/>
          <w:left w:w="0" w:type="dxa"/>
          <w:bottom w:w="0" w:type="dxa"/>
          <w:right w:w="0" w:type="dxa"/>
        </w:tblCellMar>
      </w:tblPr>
      <w:tblGrid>
        <w:gridCol w:w="305"/>
        <w:gridCol w:w="8885"/>
      </w:tblGrid>
      <w:tr>
        <w:trPr/>
        <w:tc>
          <w:tcPr>
            <w:tcW w:w="305" w:type="dxa"/>
            <w:tcBorders/>
            <w:vAlign w:val="center"/>
          </w:tcPr>
          <w:p>
            <w:pPr>
              <w:pStyle w:val="TableContents"/>
              <w:bidi w:val="0"/>
              <w:spacing w:before="0" w:after="283"/>
              <w:jc w:val="left"/>
              <w:rPr/>
            </w:pPr>
            <w:r>
              <w:rPr/>
              <w:t>(6)</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2,261 vested RSUs that the director has elected to defer until retirement from the Board of Directors. </w:t>
            </w:r>
          </w:p>
        </w:tc>
      </w:tr>
    </w:tbl>
    <w:tbl>
      <w:tblPr>
        <w:tblW w:w="9085" w:type="dxa"/>
        <w:jc w:val="left"/>
        <w:tblInd w:w="0" w:type="dxa"/>
        <w:tblLayout w:type="fixed"/>
        <w:tblCellMar>
          <w:top w:w="0" w:type="dxa"/>
          <w:left w:w="0" w:type="dxa"/>
          <w:bottom w:w="0" w:type="dxa"/>
          <w:right w:w="0" w:type="dxa"/>
        </w:tblCellMar>
      </w:tblPr>
      <w:tblGrid>
        <w:gridCol w:w="305"/>
        <w:gridCol w:w="8780"/>
      </w:tblGrid>
      <w:tr>
        <w:trPr/>
        <w:tc>
          <w:tcPr>
            <w:tcW w:w="305" w:type="dxa"/>
            <w:tcBorders/>
            <w:vAlign w:val="center"/>
          </w:tcPr>
          <w:p>
            <w:pPr>
              <w:pStyle w:val="TableContents"/>
              <w:bidi w:val="0"/>
              <w:spacing w:before="0" w:after="283"/>
              <w:jc w:val="left"/>
              <w:rPr/>
            </w:pPr>
            <w:r>
              <w:rPr/>
              <w:t>(7)</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vested RSUs that the director has elected to defer until retirement from the Board of Directors.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(8)</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21,612 vested RSUs that the director has elected to defer until retirement from the Board of Directors and 5,198 shares held in trust for the benefit of Mr. Stein. </w:t>
            </w:r>
          </w:p>
        </w:tc>
      </w:tr>
    </w:tbl>
    <w:tbl>
      <w:tblPr>
        <w:tblW w:w="5890" w:type="dxa"/>
        <w:jc w:val="left"/>
        <w:tblInd w:w="0" w:type="dxa"/>
        <w:tblLayout w:type="fixed"/>
        <w:tblCellMar>
          <w:top w:w="0" w:type="dxa"/>
          <w:left w:w="0" w:type="dxa"/>
          <w:bottom w:w="0" w:type="dxa"/>
          <w:right w:w="0" w:type="dxa"/>
        </w:tblCellMar>
      </w:tblPr>
      <w:tblGrid>
        <w:gridCol w:w="305"/>
        <w:gridCol w:w="5585"/>
      </w:tblGrid>
      <w:tr>
        <w:trPr/>
        <w:tc>
          <w:tcPr>
            <w:tcW w:w="305" w:type="dxa"/>
            <w:tcBorders/>
            <w:vAlign w:val="center"/>
          </w:tcPr>
          <w:p>
            <w:pPr>
              <w:pStyle w:val="TableContents"/>
              <w:bidi w:val="0"/>
              <w:spacing w:before="0" w:after="283"/>
              <w:jc w:val="left"/>
              <w:rPr/>
            </w:pPr>
            <w:r>
              <w:rPr/>
              <w:t>(9)</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33,475 shares held in trust for the benefit of Mr. Rosenthal.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0" w:name="toc30979_43"/>
      <w:bookmarkEnd w:id="40"/>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Our Section 16 officers and directors are required under the Exchange Act to file reports of ownership and changes in ownership of our common stock with the SEC and the NYSE. Copies of those reports also must be furnished to us. Based on our review of these filings, there were no delinquent filings under Section 16 in the most recent fiscal year. </w:t>
      </w:r>
    </w:p>
    <w:p>
      <w:pPr>
        <w:pStyle w:val="TextBody"/>
        <w:bidi w:val="0"/>
        <w:spacing w:before="480" w:after="0"/>
        <w:jc w:val="center"/>
        <w:rPr>
          <w:rFonts w:ascii="Times New Roman" w:hAnsi="Times New Roman"/>
          <w:b/>
          <w:sz w:val="20"/>
        </w:rPr>
      </w:pPr>
      <w:bookmarkStart w:id="41" w:name="toc30979_44"/>
      <w:bookmarkEnd w:id="41"/>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information, as of September 30, 2025, relating to equity compensation plans of the Company (including individual compensation arrangements) pursuant to which equity securities of the Company are authorized for issuance.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4865"/>
        <w:gridCol w:w="60"/>
        <w:gridCol w:w="89"/>
        <w:gridCol w:w="1461"/>
        <w:gridCol w:w="290"/>
        <w:gridCol w:w="60"/>
        <w:gridCol w:w="184"/>
        <w:gridCol w:w="736"/>
        <w:gridCol w:w="60"/>
        <w:gridCol w:w="60"/>
        <w:gridCol w:w="88"/>
        <w:gridCol w:w="1447"/>
        <w:gridCol w:w="75"/>
      </w:tblGrid>
      <w:tr>
        <w:trPr/>
        <w:tc>
          <w:tcPr>
            <w:tcW w:w="4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Number of</w:t>
              <w:br/>
              <w:t>Securities to be</w:t>
              <w:br/>
              <w:t>Issued Upon</w:t>
              <w:br/>
              <w:t>Exercise of</w:t>
              <w:br/>
              <w:t>Outstanding</w:t>
              <w:br/>
              <w:t>Options and</w:t>
              <w:br/>
              <w:t>Rights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(b)</w:t>
              <w:br/>
              <w:t>Weighted-</w:t>
              <w:br/>
              <w:t>Average</w:t>
              <w:br/>
              <w:t>Exercise</w:t>
              <w:br/>
              <w:t>Price of</w:t>
              <w:br/>
              <w:t>Outstanding</w:t>
              <w:br/>
              <w:t>Options</w:t>
              <w:br/>
              <w:t>and</w:t>
              <w:br/>
              <w:t xml:space="preserve">Rights(1)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lineRule="atLeast" w:line="142" w:before="0" w:after="0"/>
              <w:jc w:val="center"/>
              <w:rPr>
                <w:rFonts w:ascii="Times New Roman" w:hAnsi="Times New Roman"/>
                <w:b/>
                <w:sz w:val="16"/>
              </w:rPr>
            </w:pPr>
            <w:r>
              <w:rPr>
                <w:rFonts w:ascii="Times New Roman" w:hAnsi="Times New Roman"/>
                <w:b/>
                <w:sz w:val="16"/>
              </w:rPr>
              <w:t>(c)</w:t>
              <w:br/>
              <w:t>Number of Securities</w:t>
              <w:br/>
              <w:t>Remaining Available</w:t>
              <w:br/>
              <w:t>for Future Issuance</w:t>
              <w:br/>
              <w:t>Under Equity</w:t>
              <w:br/>
              <w:t>Compensation</w:t>
              <w:br/>
              <w:t>Plans (excluding</w:t>
              <w:br/>
              <w:t>securities reflected</w:t>
              <w:br/>
              <w:t xml:space="preserve">in column(a))(2)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sz w:val="4"/>
                <w:szCs w:val="4"/>
              </w:rPr>
            </w:pPr>
            <w:r>
              <w:rPr>
                <w:sz w:val="4"/>
                <w:szCs w:val="4"/>
              </w:rPr>
            </w:r>
          </w:p>
        </w:tc>
        <w:tc>
          <w:tcPr>
            <w:tcW w:w="19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lineRule="atLeast" w:line="280" w:before="0" w:after="0"/>
              <w:jc w:val="left"/>
              <w:rPr/>
            </w:pPr>
            <w:r>
              <w:rPr/>
              <w:t> </w:t>
            </w:r>
          </w:p>
        </w:tc>
        <w:tc>
          <w:tcPr>
            <w:tcW w:w="1461" w:type="dxa"/>
            <w:tcBorders/>
            <w:shd w:fill="CCEEFF"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1,990,208</w:t>
            </w:r>
          </w:p>
        </w:tc>
        <w:tc>
          <w:tcPr>
            <w:tcW w:w="290" w:type="dxa"/>
            <w:tcBorders/>
            <w:shd w:fill="CCEEFF"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(3)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4,251,043</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sz w:val="4"/>
                <w:szCs w:val="4"/>
              </w:rPr>
            </w:pPr>
            <w:r>
              <w:rPr>
                <w:sz w:val="4"/>
                <w:szCs w:val="4"/>
              </w:rPr>
            </w:r>
          </w:p>
        </w:tc>
        <w:tc>
          <w:tcPr>
            <w:tcW w:w="19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sz w:val="4"/>
                <w:szCs w:val="4"/>
              </w:rPr>
            </w:pPr>
            <w:r>
              <w:rPr>
                <w:sz w:val="4"/>
                <w:szCs w:val="4"/>
              </w:rPr>
            </w:r>
          </w:p>
        </w:tc>
        <w:tc>
          <w:tcPr>
            <w:tcW w:w="19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1,990,208</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4,251,043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210" w:type="dxa"/>
        <w:jc w:val="left"/>
        <w:tblInd w:w="0" w:type="dxa"/>
        <w:tblLayout w:type="fixed"/>
        <w:tblCellMar>
          <w:top w:w="0" w:type="dxa"/>
          <w:left w:w="0" w:type="dxa"/>
          <w:bottom w:w="0" w:type="dxa"/>
          <w:right w:w="0" w:type="dxa"/>
        </w:tblCellMar>
      </w:tblPr>
      <w:tblGrid>
        <w:gridCol w:w="305"/>
        <w:gridCol w:w="6905"/>
      </w:tblGrid>
      <w:tr>
        <w:trPr/>
        <w:tc>
          <w:tcPr>
            <w:tcW w:w="305" w:type="dxa"/>
            <w:tcBorders/>
            <w:vAlign w:val="center"/>
          </w:tcPr>
          <w:p>
            <w:pPr>
              <w:pStyle w:val="TableContents"/>
              <w:bidi w:val="0"/>
              <w:spacing w:before="0" w:after="283"/>
              <w:jc w:val="left"/>
              <w:rPr/>
            </w:pPr>
            <w:r>
              <w:rPr/>
              <w:t>(1)</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Weighted average exercise price of outstanding options; excludes RSUs and PRSUs. </w:t>
            </w:r>
          </w:p>
        </w:tc>
      </w:tr>
    </w:tbl>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r>
              <w:rPr/>
              <w:t>(2)</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common stock are available under our 2019 Long-Term Incentive plan.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issuable upon the exercise of 247,987 outstanding non-qualified stock options, 429,686 outstanding RSUs that will be settled in shares of our common stock, 1,257,862 outstanding PRSUs that will be settled in shares of our common stock (which amount reflects vesting at the maximum vesting level of 260%, if all of these outstanding PRSUs vest at the target vesting level instead of the maximum vesting level, 483,793 PRSUs would vest instead of 1,257,862) and 54,673 vested units under our deferred compensation plan for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oc30979_45"/>
      <w:bookmarkEnd w:id="42"/>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b/>
          <w:sz w:val="20"/>
        </w:rPr>
      </w:pPr>
      <w:bookmarkStart w:id="43" w:name="toc30979_46"/>
      <w:bookmarkEnd w:id="43"/>
      <w:r>
        <w:rPr>
          <w:rFonts w:ascii="Times New Roman" w:hAnsi="Times New Roman"/>
          <w:b/>
          <w:sz w:val="20"/>
        </w:rPr>
        <w:t xml:space="preserve">Policies and Procedures Governing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written code of conduct for directors, officers and employees contains written conflict of interest policies that are designed to prevent each director and executive officer from engaging in any transaction that could be deemed a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Our related person transactions policy provides that any related person transaction covered by the policy must be reviewed and approved or ratified by our Audit Committee (or an independent and disinterested sub-committee thereof). Our related party transactions policy applies to any transaction that would be required by the SEC to be disclosed in our proxy statement, as well as certain transactions with Post.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will not approve or ratify any related person transaction unless, after considering all relevant information, it has determined that the transaction is in, or is not inconsistent with, the best interests of us and our stockholders and complies with applicable law. In considering a related party transaction, the Committee will take into account relevant facts and circumstances,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terms of the transaction are no less favorable to us than terms generally available to an unaffiliated third party under similar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materiality of the director’s or officer’s interest in the transaction, including any actual or perceived conflicts of interest; and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importance of the transaction and the benefit (or lack thereof) of such transaction to us. </w:t>
            </w:r>
          </w:p>
        </w:tc>
      </w:tr>
    </w:tbl>
    <w:p>
      <w:pPr>
        <w:pStyle w:val="TextBody"/>
        <w:bidi w:val="0"/>
        <w:spacing w:before="360" w:after="0"/>
        <w:jc w:val="left"/>
        <w:rPr>
          <w:rFonts w:ascii="Times New Roman" w:hAnsi="Times New Roman"/>
          <w:b/>
          <w:sz w:val="20"/>
        </w:rPr>
      </w:pPr>
      <w:bookmarkStart w:id="44" w:name="toc30979_47"/>
      <w:bookmarkEnd w:id="44"/>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director and executive officer compensation arrangements discussed above under </w:t>
      </w:r>
      <w:r>
        <w:rPr>
          <w:rFonts w:ascii="Times New Roman" w:hAnsi="Times New Roman"/>
          <w:i/>
          <w:sz w:val="20"/>
        </w:rPr>
        <w:t>Compensation of Officers and Directors</w:t>
      </w:r>
      <w:r>
        <w:rPr>
          <w:rFonts w:ascii="Times New Roman" w:hAnsi="Times New Roman"/>
          <w:sz w:val="20"/>
        </w:rPr>
        <w:t xml:space="preserve">, the following is a description of each transaction since the beginning of our last fiscal year and each currently proposed transaction in which: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exceeded or exceeds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five percent of our capital stock, or any immediate family member of or person sharing the household with any of these individuals, had or will have a direct or indirect material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March 10, 2022, we and Post completed a series of transactions resulting in the spin-off of approximately 80.1% of Post’s ownership interests in us to its stockholders and our reorganization, as more fully disclosed in our Current Report on Form 8-K as filed with the SEC on March 10, 2022 (the “Reorganization Transactions”). In connection with the Reorganization Transactions, on March 10, 2022, we and Post and certain of our predecessor affiliates agreed to amend and restate the below-described employee matters agreement and master services agreement and entered into a new tax matters agreement and registration rights agreement. As of November 25, 2022, Post no longer owns any outstanding shares of our common stock. Transactions with Post continue to be considered related party transactions as certain of the Company’s directors serve as officers or directors of Post.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employee matters agreement covers a wide range of compensation and benefit matters,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RSU awards issued to employees of us or our subsidiaries (or our or their predecessors) under certain Post equity incentive plans, which remain unsettled or outstanding as of March 10, 2022, will 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accelerate at the time that Post and we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We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we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Post will, and will cause our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us or our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Employee Benefits Trustees Committee will determine the future treatment of the Post common stock fund held in our 401(k)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Post will work in good faith to administer the notional accounts held by certain employees of us or our subsidiaries under the Post Holdings, Inc. Deferred Compensation Plan for Key Employees and the Post Holdings, Inc. Executive Savings Investment Plan (collectively, the “Post nonqualified plans”) for so long as such notional accounts remain under the Post nonqualified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the amended and restated employee matters agreement, we will, or will cause our subsidiaries to, assume or retain,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former employees of us and their dependents and beneficiaries.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under the amended and restated employee matters agreement, we will use commercially reasonable efforts to maintain effective registration statements with the SEC with respect to the 2019 LTIP or any successor plan, and any equity awards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We and Post may terminate the amended and restated employee matters agreement by mutual consent, and Post may terminate the employee matters agreement in the event of a change of control of Post, or a change of control of us or the sale of all or substantially all of our consolidated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tax matters agreement governs our and Post’s respective rights, responsibilities and obligations with respect to taxes, including taxes arising in the ordinary course of business and taxes, if any, incurred as a result of the failure of the Reorganization Transactions to qualify for their intended tax treatment. The tax matters agreement addresses U.S. federal, state, local and non-U.S. tax matters, and sets forth the respective obligations of the parties with respect to the filing of tax returns, the administration of tax contests and assistance and cooperation on tax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tax matters agreement, Post is generally responsible for pre-distribution taxes relating to both its retained business and certain of our pre-distribution taxes. We are generally responsible for post-distribution taxes attributable to our nutrition business. In addition, in certain circumstances and subject to certain conditions, each party will be responsible for taxes imposed on Post that arise from the failure of the distribution,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certain related transactions to qualify as tax-free transactions to the extent such failure to qualify is attributable to certain actions taken by such party (or, in certain circumstances, is attributable to actions taken by other persons)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tax matters agreement, we are expected to indemnify Post for (i) all taxes for which we are responsible, as described above, and (ii) all taxes incurred by reason of certain actions or events, or by reason of any breach by us or any of our subsidiaries of any of our respective representations, warranties or covenants under the tax matters agreement that, in each case, affect the intended tax-free treatment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tax matters agreement, Post is expected to indemnify us for (i) the taxes for which Post is responsible, as described above, and (ii) taxes attributable to a failure of the transactions to qualify as tax free, to the extent incurred by any action or failure to take any action within the control of Post.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prohibits Post and us from taking actions (or refraining from taking actions) that could reasonably be expected to cause the Reorganization Transactions to fail to qualify for their intended tax treatment. In particular, for two years after March 10, 2022, we in general were not permitted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any equity securities or securities that could be converted into our equity securities, including as acquisition currency for a merger or acquisition (but excluding certain equity compensation for our employees), redeem or repurchase our equity securities or our debt, or enter into any transaction pursuant to which our stock would be acquired, whether by merger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cease, or permit certain of our wholly owned subsidiaries to cease, the active conduct of the nutrition business or from holding certain assets held at the time of the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dissolve, liquidate or take any action that is a liquidation for U.S. federal income tax purposes (other than pursuant to the Reorganization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or allow an extraordinary contribution to us by our stockholders in exchange for stock, redeem or otherwise repurchase (directly or indirectly) any of our common stock or amend our certificate of incorporation or other organizational documents if such amendment or other action would affect the relative voting rights of our capital stock, or redeem or otherwise repurchase (directly or indirectly) any of the debt obligations issued by us to Post (and subsequently exchanged by Post for Post debt securities) in connection with the Reorganization Transactions;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or transfer 30% or more of the gross assets of our nutrition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us or our subsidiaries or a sale or transfer among us and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Nevertheless, we were permitted to take any of the actions described above during the two-year period following the distribution if Post obtained an IRS private letter ruling or, in certain circumstances, our tax counsel delivered an unqualified “will”-level tax opinion in form and substance reasonably satisfactory to Post) to the effect that the action would not affect the tax-free status of the transactions. Notwithstanding the above, under the tax matters agreement, we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Amended and Restated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amended and restated master services agreement, as amended on August 4, 2023 to modify the scope and pricing, and extended the term of certain services provided under it, Post provides some combination of the following services, among others, to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assistance with certain finance, internal audit, treasury, information technology support, insurance and tax matters, including assistance with certain public company reporting obligations;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use of office and/or data center space;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payroll processing services;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compliance services; and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services as to which Post and we may agree.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charges for these services were $3.0 million, plus certain third-party costs, in fiscal 2025. In general, the services provided by Post will continue for the periods specified in the amended and restated master services agreement, but not to exceed four years from March 10, 2022, subject to any subsequent extension or truncation agreed to by us and Post. In addition, Post may terminate (i) the amended and restated master services agreement or any services provided thereunder in the event of a change of control of Post, or a change of control of us or the sale of all or substantially all of the consolidated assets of Post or us, (ii) the amended and restated master services agreement or any services provided thereunder upon six months’ notice, or, if Post stops providing a service for its own operations, upon 60 days’ notice, (iii) any services provided to a subsidiary of us in the event of a change of control of the subsidiary or the sale of all or substantially all of its assets and (iv) any services provided to a business line or operating division of us or our subsidiaries in the event of a sale of such business line or operating division. We may terminate the amended and restated master services agreement with respect to one or more particular services being received upon such notice as provided for in the amended and restated master services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our IPO on October 21, 2019, we entered into a tax receivable agreement with Post. 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our common stock after the IPO. The rights of Post under the tax receivable agreement are assignable to transferees of Post’s BellRing Brands, LLC Units. We are expected to benefit from the remaining 15% of tax benefits, if any, that it may realize (or in some cases, be deemed to realize). </w:t>
      </w:r>
    </w:p>
    <w:p>
      <w:pPr>
        <w:pStyle w:val="TextBody"/>
        <w:bidi w:val="0"/>
        <w:spacing w:before="240" w:after="0"/>
        <w:jc w:val="left"/>
        <w:rPr>
          <w:rFonts w:ascii="Times New Roman" w:hAnsi="Times New Roman"/>
          <w:sz w:val="20"/>
        </w:rPr>
      </w:pPr>
      <w:r>
        <w:rPr>
          <w:rFonts w:ascii="Times New Roman" w:hAnsi="Times New Roman"/>
          <w:sz w:val="20"/>
        </w:rPr>
        <w:t xml:space="preserve">The actual increase in tax basis and the amount and timing of any payments under the tax receivable agreement will vary depending upon a number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of shares of our common stock in connection with the IPO and at the time of redemptions— the basis adjustments, as well as any related increase in any tax deductions, are directly related to the price of shares of our common stock at the time of the consummation of the IPO and each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redemptions-for instance, the increase in any tax deductions will vary depending on the fair value, which may fluctuate over time, of the depreciable or amortizable assets of BellRing Brands, LLC at the time of each redemption;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redemptions are taxable—if a redemption is not taxable for any reason, increased tax deductions will not be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future changes in federal tax laws—if future changes in federal tax laws result in changes in the amount and timing of payments (for example, changes to interest expense limitations);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future changes in federal corporate income tax rates.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Co-Packing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2022, Premier Nutrition entered into a Co-Packaging Agreement with Comet Processing, Inc. (“Comet”), a wholly owned subsidiary of Post. Under the Co-Packaging Agreement, Comet Processing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fiscal 2025, purchases of RTD shakes manufactured by Comet were $62.2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License Agreement—Dymatize Enterprises, LLC and Post Consumer Brands, LLC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2025, royalty payments from Dymatize to Post Consumer Brands were $1.5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License Agreement – Premier Nutrition Company, LLC and Post Consumer Brands, LLC </w:t>
      </w:r>
    </w:p>
    <w:p>
      <w:pPr>
        <w:pStyle w:val="TextBody"/>
        <w:bidi w:val="0"/>
        <w:spacing w:before="120" w:after="0"/>
        <w:jc w:val="left"/>
        <w:rPr>
          <w:rFonts w:ascii="Times New Roman" w:hAnsi="Times New Roman"/>
          <w:sz w:val="20"/>
        </w:rPr>
      </w:pPr>
      <w:r>
        <w:rPr>
          <w:rFonts w:ascii="Times New Roman" w:hAnsi="Times New Roman"/>
          <w:sz w:val="20"/>
        </w:rPr>
        <w:t xml:space="preserve">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2025, royalty payments from Post Consumer Brands to Premier Nutrition were $1.0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rules adopted by the Securities and Exchange Commission pursuant to the Dodd-Frank Wall Street Reform and Consumer Protection Act of 2010, we provide the following disclosure regarding executive compensation actually paid by us to our principal executive officer (“PEO”), Darcy Horn Davenport,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NEOs and Company performance for the fiscal years listed below. </w:t>
      </w:r>
    </w:p>
    <w:p>
      <w:pPr>
        <w:pStyle w:val="TextBody"/>
        <w:bidi w:val="0"/>
        <w:spacing w:before="240" w:after="0"/>
        <w:jc w:val="left"/>
        <w:rPr>
          <w:rFonts w:ascii="Times New Roman" w:hAnsi="Times New Roman"/>
          <w:sz w:val="20"/>
        </w:rPr>
      </w:pPr>
      <w:r>
        <w:rPr>
          <w:rFonts w:ascii="Times New Roman" w:hAnsi="Times New Roman"/>
          <w:sz w:val="20"/>
        </w:rPr>
        <w:t xml:space="preserve">The disclosures included in this section are required by technical SEC rules and do not necessarily align with how the Company or the Compensation Committee views the link between our performance and the compensation of our NEOs. The Compensation Committee did not consider the pay versus performance disclosure below in making its pay decisions for any of the years presented.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the decisions made by our Compensation Committee with respect to the compensation of our NEOs for each fiscal year, including alignment with Company performance, please see the “Compensation Discussion and Analysis” section of the proxy statement for the fiscal years covered. </w:t>
      </w:r>
    </w:p>
    <w:p>
      <w:pPr>
        <w:pStyle w:val="TextBody"/>
        <w:bidi w:val="0"/>
        <w:spacing w:before="0" w:after="0"/>
        <w:jc w:val="left"/>
        <w:rPr/>
      </w:pPr>
      <w:r>
        <w:rPr/>
        <w:t> </w:t>
      </w:r>
    </w:p>
    <w:tbl>
      <w:tblPr>
        <w:tblW w:w="8670" w:type="dxa"/>
        <w:jc w:val="left"/>
        <w:tblInd w:w="0" w:type="dxa"/>
        <w:tblLayout w:type="fixed"/>
        <w:tblCellMar>
          <w:top w:w="0" w:type="dxa"/>
          <w:left w:w="0" w:type="dxa"/>
          <w:bottom w:w="0" w:type="dxa"/>
          <w:right w:w="0" w:type="dxa"/>
        </w:tblCellMar>
      </w:tblPr>
      <w:tblGrid>
        <w:gridCol w:w="455"/>
        <w:gridCol w:w="120"/>
        <w:gridCol w:w="1055"/>
        <w:gridCol w:w="120"/>
        <w:gridCol w:w="1250"/>
        <w:gridCol w:w="60"/>
        <w:gridCol w:w="1055"/>
        <w:gridCol w:w="120"/>
        <w:gridCol w:w="1130"/>
        <w:gridCol w:w="60"/>
        <w:gridCol w:w="680"/>
        <w:gridCol w:w="120"/>
        <w:gridCol w:w="695"/>
        <w:gridCol w:w="120"/>
        <w:gridCol w:w="650"/>
        <w:gridCol w:w="120"/>
        <w:gridCol w:w="86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455" w:type="dxa"/>
            <w:vMerge w:val="restart"/>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Year</w:t>
            </w:r>
          </w:p>
          <w:p>
            <w:pPr>
              <w:pStyle w:val="TableContents"/>
              <w:bidi w:val="0"/>
              <w:spacing w:before="0" w:after="20"/>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vMerge w:val="restart"/>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Summary</w:t>
              <w:br/>
              <w:t>Compensation</w:t>
              <w:br/>
              <w:t>Table Total</w:t>
              <w:br/>
              <w:t>for PEO 1¹</w:t>
              <w:br/>
              <w:t>($)</w:t>
            </w:r>
          </w:p>
          <w:p>
            <w:pPr>
              <w:pStyle w:val="TableContents"/>
              <w:bidi w:val="0"/>
              <w:spacing w:before="0" w:after="20"/>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vMerge w:val="restart"/>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Compensation</w:t>
              <w:br/>
              <w:t>Actually Paid</w:t>
              <w:br/>
              <w:t>to PEO 1</w:t>
            </w:r>
          </w:p>
          <w:p>
            <w:pPr>
              <w:pStyle w:val="TableContents"/>
              <w:bidi w:val="0"/>
              <w:spacing w:lineRule="atLeast" w:line="142" w:before="0" w:after="0"/>
              <w:jc w:val="left"/>
              <w:rPr>
                <w:rFonts w:ascii="Times New Roman" w:hAnsi="Times New Roman"/>
                <w:b/>
                <w:sz w:val="9"/>
              </w:rPr>
            </w:pPr>
            <w:r>
              <w:rPr>
                <w:rFonts w:ascii="Times New Roman" w:hAnsi="Times New Roman"/>
                <w:b/>
                <w:sz w:val="9"/>
              </w:rPr>
              <w:t>1,2,3</w:t>
            </w:r>
          </w:p>
          <w:p>
            <w:pPr>
              <w:pStyle w:val="TableContents"/>
              <w:bidi w:val="0"/>
              <w:spacing w:lineRule="atLeast" w:line="200" w:before="0" w:after="0"/>
              <w:jc w:val="left"/>
              <w:rPr>
                <w:rFonts w:ascii="Times New Roman" w:hAnsi="Times New Roman"/>
                <w:b/>
                <w:sz w:val="16"/>
              </w:rPr>
            </w:pPr>
            <w:r>
              <w:rPr>
                <w:rFonts w:ascii="Times New Roman" w:hAnsi="Times New Roman"/>
                <w:b/>
                <w:sz w:val="16"/>
              </w:rPr>
              <w:br/>
              <w:t>($)</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vMerge w:val="restart"/>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Average</w:t>
              <w:br/>
              <w:t>Summary</w:t>
              <w:br/>
              <w:t>Compensation</w:t>
              <w:br/>
              <w:t>Table Total</w:t>
              <w:br/>
              <w:t xml:space="preserve">for </w:t>
            </w:r>
          </w:p>
          <w:p>
            <w:pPr>
              <w:pStyle w:val="TableContents"/>
              <w:bidi w:val="0"/>
              <w:spacing w:lineRule="atLeast" w:line="200" w:before="0" w:after="0"/>
              <w:jc w:val="left"/>
              <w:rPr>
                <w:rFonts w:ascii="Times New Roman" w:hAnsi="Times New Roman"/>
                <w:b/>
                <w:spacing w:val="0"/>
                <w:sz w:val="16"/>
              </w:rPr>
            </w:pPr>
            <w:r>
              <w:rPr>
                <w:rFonts w:ascii="Times New Roman" w:hAnsi="Times New Roman"/>
                <w:b/>
                <w:spacing w:val="0"/>
                <w:sz w:val="16"/>
              </w:rPr>
              <w:t>Non-PEO</w:t>
            </w:r>
          </w:p>
          <w:p>
            <w:pPr>
              <w:pStyle w:val="TableContents"/>
              <w:bidi w:val="0"/>
              <w:spacing w:lineRule="atLeast" w:line="200" w:before="0" w:after="0"/>
              <w:jc w:val="left"/>
              <w:rPr>
                <w:rFonts w:ascii="Times New Roman" w:hAnsi="Times New Roman"/>
                <w:b/>
                <w:sz w:val="16"/>
              </w:rPr>
            </w:pPr>
            <w:r>
              <w:rPr>
                <w:rFonts w:ascii="Times New Roman" w:hAnsi="Times New Roman"/>
                <w:b/>
                <w:sz w:val="16"/>
              </w:rPr>
              <w:br/>
              <w:t>NEOs</w:t>
            </w:r>
          </w:p>
          <w:p>
            <w:pPr>
              <w:pStyle w:val="TableContents"/>
              <w:bidi w:val="0"/>
              <w:spacing w:lineRule="atLeast" w:line="142" w:before="0" w:after="0"/>
              <w:jc w:val="left"/>
              <w:rPr>
                <w:rFonts w:ascii="Times New Roman" w:hAnsi="Times New Roman"/>
                <w:b/>
                <w:sz w:val="9"/>
              </w:rPr>
            </w:pPr>
            <w:r>
              <w:rPr>
                <w:rFonts w:ascii="Times New Roman" w:hAnsi="Times New Roman"/>
                <w:b/>
                <w:sz w:val="9"/>
              </w:rPr>
              <w:t>1</w:t>
            </w:r>
          </w:p>
          <w:p>
            <w:pPr>
              <w:pStyle w:val="TableContents"/>
              <w:bidi w:val="0"/>
              <w:spacing w:lineRule="atLeast" w:line="200" w:before="0" w:after="0"/>
              <w:jc w:val="left"/>
              <w:rPr>
                <w:rFonts w:ascii="Times New Roman" w:hAnsi="Times New Roman"/>
                <w:b/>
                <w:sz w:val="16"/>
              </w:rPr>
            </w:pPr>
            <w:r>
              <w:rPr>
                <w:rFonts w:ascii="Times New Roman" w:hAnsi="Times New Roman"/>
                <w:b/>
                <w:sz w:val="16"/>
              </w:rPr>
              <w:br/>
              <w:t>($)</w:t>
            </w:r>
          </w:p>
          <w:p>
            <w:pPr>
              <w:pStyle w:val="TableContents"/>
              <w:bidi w:val="0"/>
              <w:spacing w:before="0" w:after="20"/>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vMerge w:val="restart"/>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Average</w:t>
              <w:br/>
              <w:t>Compensation</w:t>
              <w:br/>
              <w:t>Actually Paid</w:t>
              <w:br/>
              <w:t xml:space="preserve">to </w:t>
            </w:r>
          </w:p>
          <w:p>
            <w:pPr>
              <w:pStyle w:val="TableContents"/>
              <w:bidi w:val="0"/>
              <w:spacing w:lineRule="atLeast" w:line="200" w:before="0" w:after="0"/>
              <w:jc w:val="left"/>
              <w:rPr>
                <w:rFonts w:ascii="Times New Roman" w:hAnsi="Times New Roman"/>
                <w:b/>
                <w:spacing w:val="0"/>
                <w:sz w:val="16"/>
              </w:rPr>
            </w:pPr>
            <w:r>
              <w:rPr>
                <w:rFonts w:ascii="Times New Roman" w:hAnsi="Times New Roman"/>
                <w:b/>
                <w:spacing w:val="0"/>
                <w:sz w:val="16"/>
              </w:rPr>
              <w:t>Non-PEO</w:t>
            </w:r>
          </w:p>
          <w:p>
            <w:pPr>
              <w:pStyle w:val="TableContents"/>
              <w:bidi w:val="0"/>
              <w:spacing w:lineRule="atLeast" w:line="200" w:before="0" w:after="0"/>
              <w:jc w:val="left"/>
              <w:rPr>
                <w:rFonts w:ascii="Times New Roman" w:hAnsi="Times New Roman"/>
                <w:b/>
                <w:sz w:val="16"/>
              </w:rPr>
            </w:pPr>
            <w:r>
              <w:rPr>
                <w:rFonts w:ascii="Times New Roman" w:hAnsi="Times New Roman"/>
                <w:b/>
                <w:sz w:val="16"/>
              </w:rPr>
              <w:br/>
              <w:t>NEOs</w:t>
            </w:r>
          </w:p>
          <w:p>
            <w:pPr>
              <w:pStyle w:val="TableContents"/>
              <w:bidi w:val="0"/>
              <w:spacing w:lineRule="atLeast" w:line="142" w:before="0" w:after="0"/>
              <w:jc w:val="left"/>
              <w:rPr>
                <w:rFonts w:ascii="Times New Roman" w:hAnsi="Times New Roman"/>
                <w:b/>
                <w:sz w:val="9"/>
              </w:rPr>
            </w:pPr>
            <w:r>
              <w:rPr>
                <w:rFonts w:ascii="Times New Roman" w:hAnsi="Times New Roman"/>
                <w:b/>
                <w:sz w:val="9"/>
              </w:rPr>
              <w:t>1,2,3</w:t>
            </w:r>
          </w:p>
          <w:p>
            <w:pPr>
              <w:pStyle w:val="TableContents"/>
              <w:bidi w:val="0"/>
              <w:spacing w:lineRule="atLeast" w:line="200" w:before="0" w:after="0"/>
              <w:jc w:val="left"/>
              <w:rPr>
                <w:rFonts w:ascii="Times New Roman" w:hAnsi="Times New Roman"/>
                <w:b/>
                <w:sz w:val="16"/>
              </w:rPr>
            </w:pPr>
            <w:r>
              <w:rPr>
                <w:rFonts w:ascii="Times New Roman" w:hAnsi="Times New Roman"/>
                <w:b/>
                <w:sz w:val="16"/>
              </w:rPr>
              <w:b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95" w:type="dxa"/>
            <w:gridSpan w:val="3"/>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Value of Initial</w:t>
              <w:br/>
              <w:t>Fixed $100</w:t>
              <w:br/>
              <w:t>Investment based</w:t>
              <w:br/>
              <w:t>on:</w:t>
            </w:r>
          </w:p>
          <w:p>
            <w:pPr>
              <w:pStyle w:val="TableContents"/>
              <w:bidi w:val="0"/>
              <w:spacing w:lineRule="atLeast" w:line="142" w:before="0" w:after="0"/>
              <w:jc w:val="left"/>
              <w:rPr>
                <w:rFonts w:ascii="Times New Roman" w:hAnsi="Times New Roman"/>
                <w:b/>
                <w:sz w:val="9"/>
              </w:rPr>
            </w:pPr>
            <w:r>
              <w:rPr>
                <w:rFonts w:ascii="Times New Roman" w:hAnsi="Times New Roman"/>
                <w:b/>
                <w:sz w:val="9"/>
              </w:rPr>
              <w:t>4</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50" w:type="dxa"/>
            <w:vMerge w:val="restart"/>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Net</w:t>
              <w:br/>
              <w:t>Income</w:t>
              <w:br/>
              <w:t>($</w:t>
              <w:br/>
              <w:t>Millions)</w:t>
            </w:r>
          </w:p>
          <w:p>
            <w:pPr>
              <w:pStyle w:val="TableContents"/>
              <w:bidi w:val="0"/>
              <w:spacing w:before="0" w:after="20"/>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vMerge w:val="restart"/>
            <w:tcBorders>
              <w:bottom w:val="single" w:sz="8" w:space="0" w:color="000000"/>
            </w:tcBorders>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Net Sales</w:t>
              <w:br/>
              <w:t>($ Millions)</w:t>
            </w:r>
          </w:p>
          <w:p>
            <w:pPr>
              <w:pStyle w:val="TableContents"/>
              <w:bidi w:val="0"/>
              <w:spacing w:lineRule="atLeast" w:line="142" w:before="0" w:after="0"/>
              <w:jc w:val="left"/>
              <w:rPr>
                <w:rFonts w:ascii="Times New Roman" w:hAnsi="Times New Roman"/>
                <w:b/>
                <w:sz w:val="9"/>
              </w:rPr>
            </w:pPr>
            <w:r>
              <w:rPr>
                <w:rFonts w:ascii="Times New Roman" w:hAnsi="Times New Roman"/>
                <w:b/>
                <w:sz w:val="9"/>
              </w:rPr>
              <w:t>5</w:t>
            </w:r>
          </w:p>
          <w:p>
            <w:pPr>
              <w:pStyle w:val="TableContents"/>
              <w:bidi w:val="0"/>
              <w:spacing w:before="0" w:after="20"/>
              <w:jc w:val="left"/>
              <w:rPr/>
            </w:pPr>
            <w:r>
              <w:rPr/>
              <w:t> </w:t>
            </w:r>
          </w:p>
        </w:tc>
      </w:tr>
      <w:tr>
        <w:trPr/>
        <w:tc>
          <w:tcPr>
            <w:tcW w:w="455"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055"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25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55"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130" w:type="dxa"/>
            <w:vMerge w:val="continue"/>
            <w:tcBorders>
              <w:bottom w:val="single" w:sz="8" w:space="0" w:color="000000"/>
            </w:tcBorders>
            <w:tcMar>
              <w:bottom w:w="28"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TSR</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Peer</w:t>
              <w:br/>
              <w:t>Group</w:t>
              <w:br/>
              <w:t>TSR</w:t>
              <w:br/>
              <w:t>($)</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860" w:type="dxa"/>
            <w:vMerge w:val="continue"/>
            <w:tcBorders>
              <w:bottom w:val="single" w:sz="8" w:space="0" w:color="000000"/>
            </w:tcBorders>
            <w:tcMar>
              <w:bottom w:w="28" w:type="dxa"/>
            </w:tcMar>
            <w:vAlign w:val="center"/>
          </w:tcPr>
          <w:p>
            <w:pPr>
              <w:pStyle w:val="Normal"/>
              <w:bidi w:val="0"/>
              <w:jc w:val="left"/>
              <w:rPr/>
            </w:pPr>
            <w:r>
              <w:rPr/>
            </w:r>
          </w:p>
        </w:tc>
      </w:tr>
      <w:tr>
        <w:trPr/>
        <w:tc>
          <w:tcPr>
            <w:tcW w:w="45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6,563,539</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(10,323,672)</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1,453,696</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(1,477,670)</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195.42</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107.00</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216.2</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shd w:fill="CCEEFF" w:val="clear"/>
            <w:tcMar>
              <w:bottom w:w="28" w:type="dxa"/>
            </w:tcM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2,316.6</w:t>
            </w:r>
          </w:p>
        </w:tc>
      </w:tr>
      <w:tr>
        <w:trPr/>
        <w:tc>
          <w:tcPr>
            <w:tcW w:w="45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9,901,653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29,639,032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2,027,491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8,453,584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326.44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126.32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246.5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1,996.2</w:t>
            </w:r>
          </w:p>
        </w:tc>
      </w:tr>
      <w:tr>
        <w:trPr/>
        <w:tc>
          <w:tcPr>
            <w:tcW w:w="45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2023</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4,321,300</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17,994,026</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900,745</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7,132,747</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221.66</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113.94</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165.5</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shd w:fill="CCEEFF" w:val="clear"/>
            <w:tcMar>
              <w:bottom w:w="28" w:type="dxa"/>
            </w:tcM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1,666.8</w:t>
            </w:r>
          </w:p>
        </w:tc>
      </w:tr>
      <w:tr>
        <w:trPr/>
        <w:tc>
          <w:tcPr>
            <w:tcW w:w="45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5,046,013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2,706,699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3,976,161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3,006,251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110.80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111.28</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0"/>
              <w:jc w:val="left"/>
              <w:rPr>
                <w:b/>
                <w:spacing w:val="0"/>
              </w:rPr>
            </w:pPr>
            <w:r>
              <w:rPr>
                <w:b/>
                <w:spacing w:val="0"/>
              </w:rPr>
              <w:t>116.0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1,371.5</w:t>
            </w:r>
          </w:p>
        </w:tc>
      </w:tr>
      <w:tr>
        <w:trPr/>
        <w:tc>
          <w:tcPr>
            <w:tcW w:w="45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2021</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3,565,067</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6,055,248</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816,593</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1,196,210</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148.26</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105.62</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shd w:fill="CCEEFF" w:val="clear"/>
            <w:tcMar>
              <w:bottom w:w="28" w:type="dxa"/>
            </w:tcMar>
            <w:vAlign w:val="center"/>
          </w:tcPr>
          <w:p>
            <w:pPr>
              <w:pStyle w:val="TableContents"/>
              <w:bidi w:val="0"/>
              <w:spacing w:before="0" w:after="0"/>
              <w:jc w:val="left"/>
              <w:rPr>
                <w:b/>
                <w:spacing w:val="0"/>
              </w:rPr>
            </w:pPr>
            <w:r>
              <w:rPr>
                <w:b/>
                <w:spacing w:val="0"/>
              </w:rPr>
              <w:t>114.4</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shd w:fill="CCEEFF" w:val="clear"/>
            <w:tcMar>
              <w:bottom w:w="28" w:type="dxa"/>
            </w:tcM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1,247.1</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00"/>
        <w:gridCol w:w="90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Darcy Horn Davenport was our PEO for each year presented in the table above. The individuals comprising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for each year presented are listed below.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1865"/>
        <w:gridCol w:w="60"/>
        <w:gridCol w:w="1865"/>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2021 -2024</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1865" w:type="dxa"/>
            <w:tcBorders/>
            <w:vAlign w:val="center"/>
          </w:tcPr>
          <w:p>
            <w:pPr>
              <w:pStyle w:val="TableContents"/>
              <w:bidi w:val="0"/>
              <w:spacing w:before="0" w:after="283"/>
              <w:jc w:val="center"/>
              <w:rPr/>
            </w:pPr>
            <w:r>
              <w:rPr/>
              <w:t>Robert V. Vitale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Paul A. Rode</w:t>
            </w:r>
          </w:p>
        </w:tc>
      </w:tr>
      <w:tr>
        <w:trPr/>
        <w:tc>
          <w:tcPr>
            <w:tcW w:w="1865" w:type="dxa"/>
            <w:tcBorders/>
            <w:vAlign w:val="center"/>
          </w:tcPr>
          <w:p>
            <w:pPr>
              <w:pStyle w:val="TableContents"/>
              <w:bidi w:val="0"/>
              <w:spacing w:before="0" w:after="283"/>
              <w:jc w:val="center"/>
              <w:rPr/>
            </w:pPr>
            <w:r>
              <w:rPr/>
              <w:t>Paul A. Rode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Douglas J. Cornille</w:t>
            </w:r>
          </w:p>
        </w:tc>
      </w:tr>
      <w:tr>
        <w:trPr/>
        <w:tc>
          <w:tcPr>
            <w:tcW w:w="1865" w:type="dxa"/>
            <w:tcBorders/>
            <w:vAlign w:val="center"/>
          </w:tcPr>
          <w:p>
            <w:pPr>
              <w:pStyle w:val="TableContents"/>
              <w:bidi w:val="0"/>
              <w:spacing w:before="0" w:after="283"/>
              <w:jc w:val="center"/>
              <w:rPr/>
            </w:pPr>
            <w:r>
              <w:rPr/>
              <w:t>Douglas J. Cornille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Craig L. Rosenthal</w:t>
            </w:r>
          </w:p>
        </w:tc>
      </w:tr>
      <w:tr>
        <w:trPr/>
        <w:tc>
          <w:tcPr>
            <w:tcW w:w="1865" w:type="dxa"/>
            <w:tcBorders/>
            <w:vAlign w:val="center"/>
          </w:tcPr>
          <w:p>
            <w:pPr>
              <w:pStyle w:val="TableContents"/>
              <w:bidi w:val="0"/>
              <w:spacing w:before="0" w:after="283"/>
              <w:jc w:val="center"/>
              <w:rPr/>
            </w:pPr>
            <w:r>
              <w:rPr/>
              <w:t>Craig L. Rosenthal</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Robin Singh</w:t>
            </w:r>
          </w:p>
        </w:tc>
      </w:tr>
      <w:tr>
        <w:trPr/>
        <w:tc>
          <w:tcPr>
            <w:tcW w:w="1865" w:type="dxa"/>
            <w:tcBorders/>
            <w:vAlign w:val="center"/>
          </w:tcPr>
          <w:p>
            <w:pPr>
              <w:pStyle w:val="TableContents"/>
              <w:bidi w:val="0"/>
              <w:spacing w:before="0" w:after="283"/>
              <w:jc w:val="center"/>
              <w:rPr/>
            </w:pPr>
            <w:r>
              <w:rPr/>
              <w:t>Robin Singh</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for Compensation Actually Paid have been calculated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and do not reflect compensation actually earned, realized, or received by the Company’s NEOs. These amounts reflect the Summary Compensation Table Total with certain adjustments as described in footnote 3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reflects the exclusions and inclusions of certain amounts for the PEO and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set forth below. Equity values are calculated in accordance with FASB ASC Topic 718. Amounts in the Exclusion of Stock Awards column are the totals from the Stock Awards columns set forth in the Summary Compensation Table.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545"/>
        <w:gridCol w:w="60"/>
        <w:gridCol w:w="2135"/>
        <w:gridCol w:w="60"/>
        <w:gridCol w:w="1895"/>
        <w:gridCol w:w="60"/>
        <w:gridCol w:w="1955"/>
        <w:gridCol w:w="60"/>
        <w:gridCol w:w="126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3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Summary</w:t>
              <w:br/>
              <w:t>Compensation Table</w:t>
              <w:br/>
              <w:t>Total for Darcy</w:t>
              <w:br/>
              <w:t>Horn 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Exclusion of Stock</w:t>
              <w:br/>
              <w:t>Awards for Darcy</w:t>
              <w:br/>
              <w:t>Horn 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Inclusion of Equity</w:t>
              <w:br/>
              <w:t>Values for Darcy</w:t>
              <w:br/>
              <w:t>Horn 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Compensation</w:t>
              <w:br/>
              <w:t>Actually Paid to</w:t>
            </w:r>
          </w:p>
          <w:p>
            <w:pPr>
              <w:pStyle w:val="TableContents"/>
              <w:bidi w:val="0"/>
              <w:spacing w:before="0" w:after="20"/>
              <w:jc w:val="left"/>
              <w:rPr>
                <w:rFonts w:ascii="Times New Roman" w:hAnsi="Times New Roman"/>
                <w:b/>
                <w:sz w:val="16"/>
              </w:rPr>
            </w:pPr>
            <w:r>
              <w:rPr>
                <w:rFonts w:ascii="Times New Roman" w:hAnsi="Times New Roman"/>
                <w:b/>
                <w:sz w:val="16"/>
              </w:rPr>
              <w:t>Darcy Horn</w:t>
              <w:br/>
              <w:t>Davenport</w:t>
              <w:br/>
              <w:t>($)</w:t>
            </w:r>
          </w:p>
        </w:tc>
      </w:tr>
      <w:tr>
        <w:trPr/>
        <w:tc>
          <w:tcPr>
            <w:tcW w:w="545" w:type="dxa"/>
            <w:tcBorders>
              <w:bottom w:val="single" w:sz="6" w:space="0" w:color="000000"/>
            </w:tcBorders>
            <w:shd w:fill="CCEEFF" w:val="clear"/>
            <w:tcMar>
              <w:bottom w:w="28" w:type="dxa"/>
            </w:tcMar>
            <w:vAlign w:val="center"/>
          </w:tcPr>
          <w:p>
            <w:pPr>
              <w:pStyle w:val="TableContents"/>
              <w:bidi w:val="0"/>
              <w:spacing w:before="0" w:after="283"/>
              <w:jc w:val="left"/>
              <w:rPr/>
            </w:pPr>
            <w:r>
              <w:rPr/>
              <w:t>2025</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shd w:fill="CCEEFF" w:val="clear"/>
            <w:tcMar>
              <w:bottom w:w="28" w:type="dxa"/>
            </w:tcMar>
            <w:vAlign w:val="center"/>
          </w:tcPr>
          <w:p>
            <w:pPr>
              <w:pStyle w:val="TableContents"/>
              <w:bidi w:val="0"/>
              <w:spacing w:before="0" w:after="283"/>
              <w:jc w:val="left"/>
              <w:rPr/>
            </w:pPr>
            <w:r>
              <w:rPr/>
              <w:t>6,563,539</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95" w:type="dxa"/>
            <w:tcBorders>
              <w:bottom w:val="single" w:sz="6" w:space="0" w:color="000000"/>
            </w:tcBorders>
            <w:shd w:fill="CCEEFF" w:val="clear"/>
            <w:tcMar>
              <w:bottom w:w="28" w:type="dxa"/>
            </w:tcMar>
            <w:vAlign w:val="center"/>
          </w:tcPr>
          <w:p>
            <w:pPr>
              <w:pStyle w:val="TableContents"/>
              <w:bidi w:val="0"/>
              <w:spacing w:before="0" w:after="283"/>
              <w:jc w:val="left"/>
              <w:rPr/>
            </w:pPr>
            <w:r>
              <w:rPr/>
              <w:t>(4,400,000)</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shd w:fill="CCEEFF" w:val="clear"/>
            <w:tcMar>
              <w:bottom w:w="28" w:type="dxa"/>
            </w:tcMar>
            <w:vAlign w:val="center"/>
          </w:tcPr>
          <w:p>
            <w:pPr>
              <w:pStyle w:val="TableContents"/>
              <w:bidi w:val="0"/>
              <w:spacing w:before="0" w:after="283"/>
              <w:jc w:val="left"/>
              <w:rPr/>
            </w:pPr>
            <w:r>
              <w:rPr/>
              <w:t>(12,487,211)</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left"/>
              <w:rPr/>
            </w:pPr>
            <w:r>
              <w:rPr/>
              <w:t>(10,323,672)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8890" w:type="dxa"/>
        <w:jc w:val="left"/>
        <w:tblInd w:w="0" w:type="dxa"/>
        <w:tblLayout w:type="fixed"/>
        <w:tblCellMar>
          <w:top w:w="0" w:type="dxa"/>
          <w:left w:w="0" w:type="dxa"/>
          <w:bottom w:w="0" w:type="dxa"/>
          <w:right w:w="0" w:type="dxa"/>
        </w:tblCellMar>
      </w:tblPr>
      <w:tblGrid>
        <w:gridCol w:w="545"/>
        <w:gridCol w:w="60"/>
        <w:gridCol w:w="2135"/>
        <w:gridCol w:w="60"/>
        <w:gridCol w:w="2180"/>
        <w:gridCol w:w="60"/>
        <w:gridCol w:w="2120"/>
        <w:gridCol w:w="60"/>
        <w:gridCol w:w="16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3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 Summary</w:t>
              <w:br/>
              <w:t>Compensation Table</w:t>
              <w:br/>
              <w:t xml:space="preserve">Total for </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8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 Exclusion of</w:t>
              <w:br/>
              <w:t>Stock Awards 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2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 Inclusion of</w:t>
              <w:br/>
              <w:t>Equity Values 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w:t>
              <w:br/>
              <w:t>Compensation</w:t>
              <w:br/>
              <w:t>Actually Paid to</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r>
      <w:tr>
        <w:trPr/>
        <w:tc>
          <w:tcPr>
            <w:tcW w:w="545" w:type="dxa"/>
            <w:tcBorders>
              <w:bottom w:val="single" w:sz="6" w:space="0" w:color="000000"/>
            </w:tcBorders>
            <w:shd w:fill="CCEEFF" w:val="clear"/>
            <w:tcMar>
              <w:bottom w:w="28" w:type="dxa"/>
            </w:tcMar>
            <w:vAlign w:val="center"/>
          </w:tcPr>
          <w:p>
            <w:pPr>
              <w:pStyle w:val="TableContents"/>
              <w:bidi w:val="0"/>
              <w:spacing w:before="0" w:after="283"/>
              <w:jc w:val="left"/>
              <w:rPr/>
            </w:pPr>
            <w:r>
              <w:rPr/>
              <w:t>2025</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shd w:fill="CCEEFF" w:val="clear"/>
            <w:tcMar>
              <w:bottom w:w="28" w:type="dxa"/>
            </w:tcMar>
            <w:vAlign w:val="center"/>
          </w:tcPr>
          <w:p>
            <w:pPr>
              <w:pStyle w:val="TableContents"/>
              <w:bidi w:val="0"/>
              <w:spacing w:before="0" w:after="283"/>
              <w:jc w:val="left"/>
              <w:rPr/>
            </w:pPr>
            <w:r>
              <w:rPr/>
              <w:t>1,453,696</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shd w:fill="CCEEFF" w:val="clear"/>
            <w:tcMar>
              <w:bottom w:w="28" w:type="dxa"/>
            </w:tcMar>
            <w:vAlign w:val="center"/>
          </w:tcPr>
          <w:p>
            <w:pPr>
              <w:pStyle w:val="TableContents"/>
              <w:bidi w:val="0"/>
              <w:spacing w:before="0" w:after="283"/>
              <w:jc w:val="left"/>
              <w:rPr/>
            </w:pPr>
            <w:r>
              <w:rPr/>
              <w:t>(632,500)</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120" w:type="dxa"/>
            <w:tcBorders>
              <w:bottom w:val="single" w:sz="6" w:space="0" w:color="000000"/>
            </w:tcBorders>
            <w:shd w:fill="CCEEFF" w:val="clear"/>
            <w:tcMar>
              <w:bottom w:w="28" w:type="dxa"/>
            </w:tcMar>
            <w:vAlign w:val="center"/>
          </w:tcPr>
          <w:p>
            <w:pPr>
              <w:pStyle w:val="TableContents"/>
              <w:bidi w:val="0"/>
              <w:spacing w:before="0" w:after="283"/>
              <w:jc w:val="left"/>
              <w:rPr/>
            </w:pPr>
            <w:r>
              <w:rPr/>
              <w:t>(2,298,866)</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shd w:fill="CCEEFF" w:val="clear"/>
            <w:tcMar>
              <w:bottom w:w="28" w:type="dxa"/>
            </w:tcMar>
            <w:vAlign w:val="center"/>
          </w:tcPr>
          <w:p>
            <w:pPr>
              <w:pStyle w:val="TableContents"/>
              <w:bidi w:val="0"/>
              <w:spacing w:before="0" w:after="283"/>
              <w:jc w:val="left"/>
              <w:rPr/>
            </w:pPr>
            <w:r>
              <w:rPr/>
              <w:t>(1,477,670)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amounts in the Inclusion of Equity Values in the tables above are derived from the amounts set forth in the following tables: </w:t>
      </w:r>
    </w:p>
    <w:p>
      <w:pPr>
        <w:pStyle w:val="TextBody"/>
        <w:bidi w:val="0"/>
        <w:spacing w:before="0" w:after="0"/>
        <w:jc w:val="left"/>
        <w:rPr/>
      </w:pPr>
      <w:r>
        <w:rPr/>
        <w:t> </w:t>
      </w:r>
    </w:p>
    <w:tbl>
      <w:tblPr>
        <w:tblW w:w="9230" w:type="dxa"/>
        <w:jc w:val="left"/>
        <w:tblInd w:w="0" w:type="dxa"/>
        <w:tblLayout w:type="fixed"/>
        <w:tblCellMar>
          <w:top w:w="0" w:type="dxa"/>
          <w:left w:w="0" w:type="dxa"/>
          <w:bottom w:w="0" w:type="dxa"/>
          <w:right w:w="0" w:type="dxa"/>
        </w:tblCellMar>
      </w:tblPr>
      <w:tblGrid>
        <w:gridCol w:w="545"/>
        <w:gridCol w:w="60"/>
        <w:gridCol w:w="1370"/>
        <w:gridCol w:w="60"/>
        <w:gridCol w:w="1295"/>
        <w:gridCol w:w="60"/>
        <w:gridCol w:w="1340"/>
        <w:gridCol w:w="60"/>
        <w:gridCol w:w="1250"/>
        <w:gridCol w:w="120"/>
        <w:gridCol w:w="1250"/>
        <w:gridCol w:w="120"/>
        <w:gridCol w:w="170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Year-End</w:t>
            </w:r>
          </w:p>
          <w:p>
            <w:pPr>
              <w:pStyle w:val="TableContents"/>
              <w:bidi w:val="0"/>
              <w:spacing w:before="0" w:after="0"/>
              <w:jc w:val="left"/>
              <w:rPr>
                <w:b/>
                <w:spacing w:val="0"/>
              </w:rPr>
            </w:pPr>
            <w:r>
              <w:rPr>
                <w:b/>
                <w:spacing w:val="0"/>
              </w:rPr>
              <w:br/>
              <w:t>Fair Value of</w:t>
              <w:br/>
              <w:t>Equity</w:t>
              <w:br/>
              <w:t>Awards</w:t>
              <w:br/>
              <w:t>Granted</w:t>
              <w:br/>
              <w:t>During Year</w:t>
              <w:br/>
              <w:t>That</w:t>
              <w:br/>
              <w:t>Remained</w:t>
              <w:br/>
              <w:t>Unvested as</w:t>
              <w:br/>
              <w:t>of Last Day</w:t>
              <w:br/>
              <w:t>of Year for</w:t>
              <w:br/>
              <w:t>Darcy Horn</w:t>
              <w:br/>
              <w:t>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Change in</w:t>
              <w:br/>
              <w:t>Fair Value</w:t>
              <w:br/>
              <w:t>from Last</w:t>
              <w:br/>
              <w:t>Day of Prior</w:t>
              <w:br/>
              <w:t>Year to Last</w:t>
              <w:br/>
              <w:t>Day of Year</w:t>
              <w:br/>
              <w:t>of Unvested</w:t>
              <w:br/>
              <w:t>Equity</w:t>
              <w:br/>
              <w:t>Awards for</w:t>
              <w:br/>
              <w:t>Darcy Horn</w:t>
              <w:br/>
              <w:t>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Vesting-Date</w:t>
            </w:r>
          </w:p>
          <w:p>
            <w:pPr>
              <w:pStyle w:val="TableContents"/>
              <w:bidi w:val="0"/>
              <w:spacing w:before="0" w:after="0"/>
              <w:jc w:val="left"/>
              <w:rPr>
                <w:b/>
                <w:spacing w:val="0"/>
              </w:rPr>
            </w:pPr>
            <w:r>
              <w:rPr>
                <w:b/>
                <w:spacing w:val="0"/>
              </w:rPr>
              <w:br/>
              <w:t>Fair Value</w:t>
              <w:br/>
              <w:t>of Equity</w:t>
              <w:br/>
              <w:t>Awards</w:t>
              <w:br/>
              <w:t>Granted</w:t>
              <w:br/>
              <w:t>During Year</w:t>
              <w:br/>
              <w:t>that Vested</w:t>
              <w:br/>
              <w:t>During Year</w:t>
              <w:br/>
              <w:t>for Darcy</w:t>
              <w:br/>
              <w:t>Horn</w:t>
              <w:br/>
              <w:t>Davenport</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Change in</w:t>
              <w:br/>
              <w:t>Fair Value</w:t>
              <w:br/>
              <w:t>from Last</w:t>
              <w:br/>
              <w:t>Day of</w:t>
              <w:br/>
              <w:t>Prior Year</w:t>
              <w:br/>
              <w:t>to Vesting</w:t>
              <w:br/>
              <w:t>Date of</w:t>
              <w:br/>
              <w:t>Unvested</w:t>
              <w:br/>
              <w:t>Equity</w:t>
              <w:br/>
              <w:t>Awards</w:t>
              <w:br/>
              <w:t>that Vested</w:t>
              <w:br/>
              <w:t>During</w:t>
              <w:br/>
              <w:t>Year for</w:t>
              <w:br/>
              <w:t>Darcy Horn</w:t>
              <w:br/>
              <w:t>Davenport</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Fair Value</w:t>
              <w:br/>
              <w:t>at Last Day</w:t>
              <w:br/>
              <w:t>of Prior</w:t>
              <w:br/>
              <w:t>Year of</w:t>
              <w:br/>
              <w:t>Equity</w:t>
              <w:br/>
              <w:t>Awards</w:t>
              <w:br/>
              <w:t>Forfeited</w:t>
              <w:br/>
              <w:t>During</w:t>
              <w:br/>
              <w:t>Year for</w:t>
              <w:br/>
              <w:t>Darcy Horn</w:t>
              <w:br/>
              <w:t>Davenport</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Total - Inclusion</w:t>
            </w:r>
          </w:p>
          <w:p>
            <w:pPr>
              <w:pStyle w:val="TableContents"/>
              <w:bidi w:val="0"/>
              <w:spacing w:before="0" w:after="0"/>
              <w:jc w:val="left"/>
              <w:rPr>
                <w:b/>
                <w:spacing w:val="0"/>
              </w:rPr>
            </w:pPr>
            <w:r>
              <w:rPr>
                <w:b/>
                <w:spacing w:val="0"/>
              </w:rPr>
              <w:br/>
              <w:t>of</w:t>
              <w:br/>
              <w:t>Equity Values</w:t>
              <w:br/>
              <w:t>for Darcy Horn</w:t>
              <w:br/>
              <w:t>Davenport</w:t>
              <w:br/>
              <w:t>($)</w:t>
            </w:r>
          </w:p>
        </w:tc>
      </w:tr>
      <w:tr>
        <w:trPr/>
        <w:tc>
          <w:tcPr>
            <w:tcW w:w="545" w:type="dxa"/>
            <w:tcBorders>
              <w:bottom w:val="single" w:sz="6" w:space="0" w:color="000000"/>
            </w:tcBorders>
            <w:shd w:fill="CCEEFF" w:val="clear"/>
            <w:tcMar>
              <w:bottom w:w="28" w:type="dxa"/>
            </w:tcMar>
            <w:vAlign w:val="center"/>
          </w:tcPr>
          <w:p>
            <w:pPr>
              <w:pStyle w:val="TableContents"/>
              <w:bidi w:val="0"/>
              <w:spacing w:before="0" w:after="283"/>
              <w:jc w:val="left"/>
              <w:rPr/>
            </w:pPr>
            <w:r>
              <w:rPr/>
              <w:t>2025</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left"/>
              <w:rPr/>
            </w:pPr>
            <w:r>
              <w:rPr/>
              <w:t>2,791,968</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CCEEFF" w:val="clear"/>
            <w:tcMar>
              <w:bottom w:w="28" w:type="dxa"/>
            </w:tcMar>
            <w:vAlign w:val="center"/>
          </w:tcPr>
          <w:p>
            <w:pPr>
              <w:pStyle w:val="TableContents"/>
              <w:bidi w:val="0"/>
              <w:spacing w:before="0" w:after="283"/>
              <w:jc w:val="left"/>
              <w:rPr/>
            </w:pPr>
            <w:r>
              <w:rPr/>
              <w:t>(16,723,308)</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left"/>
              <w:rPr/>
            </w:pPr>
            <w:r>
              <w:rPr/>
              <w:t>1,444,129</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6" w:space="0" w:color="000000"/>
            </w:tcBorders>
            <w:shd w:fill="CCEEFF" w:val="clear"/>
            <w:tcMar>
              <w:bottom w:w="28" w:type="dxa"/>
            </w:tcMar>
            <w:vAlign w:val="center"/>
          </w:tcPr>
          <w:p>
            <w:pPr>
              <w:pStyle w:val="TableContents"/>
              <w:bidi w:val="0"/>
              <w:spacing w:before="0" w:after="283"/>
              <w:jc w:val="left"/>
              <w:rPr/>
            </w:pPr>
            <w:r>
              <w:rPr/>
              <w:t>(12,487,211)</w:t>
            </w:r>
          </w:p>
        </w:tc>
      </w:tr>
    </w:tbl>
    <w:p>
      <w:pPr>
        <w:pStyle w:val="TextBody"/>
        <w:bidi w:val="0"/>
        <w:spacing w:before="0" w:after="0"/>
        <w:jc w:val="left"/>
        <w:rPr/>
      </w:pPr>
      <w:r>
        <w:rPr/>
        <w:t> </w:t>
      </w:r>
    </w:p>
    <w:tbl>
      <w:tblPr>
        <w:tblW w:w="9350" w:type="dxa"/>
        <w:jc w:val="left"/>
        <w:tblInd w:w="0" w:type="dxa"/>
        <w:tblLayout w:type="fixed"/>
        <w:tblCellMar>
          <w:top w:w="0" w:type="dxa"/>
          <w:left w:w="0" w:type="dxa"/>
          <w:bottom w:w="0" w:type="dxa"/>
          <w:right w:w="0" w:type="dxa"/>
        </w:tblCellMar>
      </w:tblPr>
      <w:tblGrid>
        <w:gridCol w:w="545"/>
        <w:gridCol w:w="60"/>
        <w:gridCol w:w="1370"/>
        <w:gridCol w:w="60"/>
        <w:gridCol w:w="1295"/>
        <w:gridCol w:w="60"/>
        <w:gridCol w:w="1340"/>
        <w:gridCol w:w="60"/>
        <w:gridCol w:w="1325"/>
        <w:gridCol w:w="120"/>
        <w:gridCol w:w="1370"/>
        <w:gridCol w:w="120"/>
        <w:gridCol w:w="162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w:t>
            </w:r>
          </w:p>
          <w:p>
            <w:pPr>
              <w:pStyle w:val="TableContents"/>
              <w:bidi w:val="0"/>
              <w:spacing w:before="0" w:after="0"/>
              <w:jc w:val="left"/>
              <w:rPr>
                <w:b/>
                <w:spacing w:val="0"/>
              </w:rPr>
            </w:pPr>
            <w:r>
              <w:rPr>
                <w:b/>
                <w:spacing w:val="0"/>
              </w:rPr>
              <w:t>Year-End</w:t>
            </w:r>
          </w:p>
          <w:p>
            <w:pPr>
              <w:pStyle w:val="TableContents"/>
              <w:bidi w:val="0"/>
              <w:spacing w:before="0" w:after="0"/>
              <w:jc w:val="left"/>
              <w:rPr>
                <w:b/>
                <w:spacing w:val="0"/>
              </w:rPr>
            </w:pPr>
            <w:r>
              <w:rPr>
                <w:b/>
                <w:spacing w:val="0"/>
              </w:rPr>
              <w:br/>
              <w:t>Fair Value of</w:t>
              <w:br/>
              <w:t>Equity</w:t>
              <w:br/>
              <w:t>Awards</w:t>
              <w:br/>
              <w:t>Granted</w:t>
              <w:br/>
              <w:t>During Year</w:t>
              <w:br/>
              <w:t>That</w:t>
              <w:br/>
              <w:t>Remained</w:t>
              <w:br/>
              <w:t>Unvested as</w:t>
              <w:br/>
              <w:t>of Last Day</w:t>
              <w:br/>
              <w:t>of Year 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w:t>
              <w:br/>
              <w:t>Change in</w:t>
              <w:br/>
              <w:t>Fair Value</w:t>
              <w:br/>
              <w:t>from Last</w:t>
              <w:br/>
              <w:t>Day of Prior</w:t>
              <w:br/>
              <w:t>Year to Last</w:t>
              <w:br/>
              <w:t>Day of Year</w:t>
              <w:br/>
              <w:t>of Unvested</w:t>
              <w:br/>
              <w:t>Equity</w:t>
              <w:br/>
              <w:t>Awards 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w:t>
            </w:r>
          </w:p>
          <w:p>
            <w:pPr>
              <w:pStyle w:val="TableContents"/>
              <w:bidi w:val="0"/>
              <w:spacing w:before="0" w:after="0"/>
              <w:jc w:val="left"/>
              <w:rPr>
                <w:b/>
                <w:spacing w:val="0"/>
              </w:rPr>
            </w:pPr>
            <w:r>
              <w:rPr>
                <w:b/>
                <w:spacing w:val="0"/>
              </w:rPr>
              <w:t>Vesting-Date</w:t>
            </w:r>
          </w:p>
          <w:p>
            <w:pPr>
              <w:pStyle w:val="TableContents"/>
              <w:bidi w:val="0"/>
              <w:spacing w:before="0" w:after="0"/>
              <w:jc w:val="left"/>
              <w:rPr>
                <w:b/>
                <w:spacing w:val="0"/>
              </w:rPr>
            </w:pPr>
            <w:r>
              <w:rPr>
                <w:b/>
                <w:spacing w:val="0"/>
              </w:rPr>
              <w:br/>
              <w:t>Fair Value</w:t>
              <w:br/>
              <w:t>of Equity</w:t>
              <w:br/>
              <w:t>Awards</w:t>
              <w:br/>
              <w:t>Granted</w:t>
              <w:br/>
              <w:t>During Year</w:t>
              <w:br/>
              <w:t>that Vested</w:t>
              <w:br/>
              <w:t>During Year</w:t>
              <w:br/>
              <w:t>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w:t>
              <w:br/>
              <w:t>Change in</w:t>
              <w:br/>
              <w:t>Fair Value</w:t>
              <w:br/>
              <w:t>from Last</w:t>
              <w:br/>
              <w:t>Day of Prior</w:t>
              <w:br/>
              <w:t>Year to</w:t>
              <w:br/>
              <w:t>Vesting</w:t>
              <w:br/>
              <w:t>Date of</w:t>
              <w:br/>
              <w:t>Unvested</w:t>
              <w:br/>
              <w:t>Equity</w:t>
              <w:br/>
              <w:t>Awards that</w:t>
              <w:br/>
              <w:t>Vested</w:t>
              <w:br/>
              <w:t>During Year</w:t>
              <w:br/>
              <w:t>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Average Fair</w:t>
              <w:br/>
              <w:t>Value at</w:t>
              <w:br/>
              <w:t>Last Day of</w:t>
              <w:br/>
              <w:t>Prior Year</w:t>
              <w:br/>
              <w:t>of Equity</w:t>
              <w:br/>
              <w:t>Awards</w:t>
              <w:br/>
              <w:t>Forfeited</w:t>
              <w:br/>
              <w:t>During Year</w:t>
              <w:br/>
              <w:t>for</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Total - Average</w:t>
            </w:r>
          </w:p>
          <w:p>
            <w:pPr>
              <w:pStyle w:val="TableContents"/>
              <w:bidi w:val="0"/>
              <w:spacing w:before="0" w:after="0"/>
              <w:jc w:val="left"/>
              <w:rPr>
                <w:b/>
                <w:spacing w:val="0"/>
              </w:rPr>
            </w:pPr>
            <w:r>
              <w:rPr>
                <w:b/>
                <w:spacing w:val="0"/>
              </w:rPr>
              <w:br/>
              <w:t>Inclusion of</w:t>
              <w:br/>
              <w:t>Equity Values</w:t>
              <w:br/>
              <w:t xml:space="preserve">for </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br/>
              <w:t>NEOs</w:t>
              <w:br/>
              <w:t>($)</w:t>
            </w:r>
          </w:p>
        </w:tc>
      </w:tr>
      <w:tr>
        <w:trPr/>
        <w:tc>
          <w:tcPr>
            <w:tcW w:w="545" w:type="dxa"/>
            <w:tcBorders>
              <w:bottom w:val="single" w:sz="6" w:space="0" w:color="000000"/>
            </w:tcBorders>
            <w:shd w:fill="CCEEFF" w:val="clear"/>
            <w:tcMar>
              <w:bottom w:w="28" w:type="dxa"/>
            </w:tcMar>
            <w:vAlign w:val="center"/>
          </w:tcPr>
          <w:p>
            <w:pPr>
              <w:pStyle w:val="TableContents"/>
              <w:bidi w:val="0"/>
              <w:spacing w:before="0" w:after="283"/>
              <w:jc w:val="left"/>
              <w:rPr/>
            </w:pPr>
            <w:r>
              <w:rPr/>
              <w:t>2025</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left"/>
              <w:rPr/>
            </w:pPr>
            <w:r>
              <w:rPr/>
              <w:t>401,309</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CCEEFF" w:val="clear"/>
            <w:tcMar>
              <w:bottom w:w="28" w:type="dxa"/>
            </w:tcMar>
            <w:vAlign w:val="center"/>
          </w:tcPr>
          <w:p>
            <w:pPr>
              <w:pStyle w:val="TableContents"/>
              <w:bidi w:val="0"/>
              <w:spacing w:before="0" w:after="283"/>
              <w:jc w:val="left"/>
              <w:rPr/>
            </w:pPr>
            <w:r>
              <w:rPr/>
              <w:t>(2,940,793)</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6" w:space="0" w:color="000000"/>
            </w:tcBorders>
            <w:shd w:fill="CCEEFF" w:val="clear"/>
            <w:tcMar>
              <w:bottom w:w="28" w:type="dxa"/>
            </w:tcMar>
            <w:vAlign w:val="center"/>
          </w:tcPr>
          <w:p>
            <w:pPr>
              <w:pStyle w:val="TableContents"/>
              <w:bidi w:val="0"/>
              <w:spacing w:before="0" w:after="283"/>
              <w:jc w:val="left"/>
              <w:rPr/>
            </w:pPr>
            <w:r>
              <w:rPr/>
              <w:t>240,618</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25" w:type="dxa"/>
            <w:tcBorders>
              <w:bottom w:val="single" w:sz="6" w:space="0" w:color="000000"/>
            </w:tcBorders>
            <w:shd w:fill="CCEEFF" w:val="clear"/>
            <w:tcMar>
              <w:bottom w:w="28" w:type="dxa"/>
            </w:tcMar>
            <w:vAlign w:val="center"/>
          </w:tcPr>
          <w:p>
            <w:pPr>
              <w:pStyle w:val="TableContents"/>
              <w:bidi w:val="0"/>
              <w:spacing w:before="0" w:after="283"/>
              <w:jc w:val="left"/>
              <w:rPr/>
            </w:pPr>
            <w:r>
              <w:rPr/>
              <w:t>(2,298,866)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Peer Group TSR set forth in this table utilizes the S&amp;P Composite 1500 Packaged Foods &amp; Meats (“S&amp;P 1500 Packaged Foods &amp; Meats”), which we also utilize in the stock performance graph required by Item 201(e)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included in our Annual Report for the year ended September 30, 2025. The comparison assumes $100 was invested for the period starting September 30, 2020, through the end of the listed year in the Company and in the S&amp;P 1500 Packaged Foods &amp; Meats, respectively. Historical stock performance is not necessarily indicative of future stock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determined Net Sales to be the most important financial performance measure used to link Company performance to Compensation Actually Paid to our PEO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 Compensation Actually Paid and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the Company’s cumulative TSR over the five most recently completed fiscal years, and the S&amp;P 1500 Packaged Foods &amp; Meats TSR over the same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7695" cy="304863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1"/>
                    <a:stretch>
                      <a:fillRect/>
                    </a:stretch>
                  </pic:blipFill>
                  <pic:spPr bwMode="auto">
                    <a:xfrm>
                      <a:off x="0" y="0"/>
                      <a:ext cx="5687695" cy="30486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w:t>
      </w:r>
    </w:p>
    <w:p>
      <w:pPr>
        <w:pStyle w:val="TextBody"/>
        <w:bidi w:val="0"/>
        <w:spacing w:before="240" w:after="0"/>
        <w:jc w:val="left"/>
        <w:rPr>
          <w:rFonts w:ascii="Times New Roman" w:hAnsi="Times New Roman"/>
          <w:sz w:val="20"/>
        </w:rPr>
      </w:pPr>
      <w:r>
        <w:rPr>
          <w:rFonts w:ascii="Times New Roman" w:hAnsi="Times New Roman"/>
          <w:sz w:val="20"/>
        </w:rPr>
        <w:t>Betw</w:t>
      </w:r>
    </w:p>
    <w:p>
      <w:pPr>
        <w:pStyle w:val="TextBody"/>
        <w:bidi w:val="0"/>
        <w:spacing w:before="240" w:after="0"/>
        <w:jc w:val="left"/>
        <w:rPr>
          <w:rFonts w:ascii="Times New Roman" w:hAnsi="Times New Roman"/>
          <w:sz w:val="20"/>
        </w:rPr>
      </w:pPr>
      <w:r>
        <w:rPr>
          <w:rFonts w:ascii="Times New Roman" w:hAnsi="Times New Roman"/>
          <w:sz w:val="20"/>
        </w:rPr>
        <w:t>een P</w:t>
      </w:r>
    </w:p>
    <w:p>
      <w:pPr>
        <w:pStyle w:val="TextBody"/>
        <w:bidi w:val="0"/>
        <w:spacing w:before="240" w:after="0"/>
        <w:jc w:val="left"/>
        <w:rPr>
          <w:rFonts w:ascii="Times New Roman" w:hAnsi="Times New Roman"/>
          <w:sz w:val="20"/>
        </w:rPr>
      </w:pPr>
      <w:r>
        <w:rPr>
          <w:rFonts w:ascii="Times New Roman" w:hAnsi="Times New Roman"/>
          <w:sz w:val="20"/>
        </w:rPr>
        <w:t>EO</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NEO Compensation Actually Paid and Net Income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0" w:after="0"/>
        <w:jc w:val="left"/>
        <w:rPr>
          <w:rFonts w:ascii="Times New Roman" w:hAnsi="Times New Roman"/>
          <w:sz w:val="20"/>
        </w:rPr>
      </w:pPr>
      <w:r>
        <w:rPr>
          <w:rFonts w:ascii="Times New Roman" w:hAnsi="Times New Roman"/>
          <w:sz w:val="20"/>
        </w:rPr>
        <w:t xml:space="preserve">NEOs, and our net income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322389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2"/>
                    <a:stretch>
                      <a:fillRect/>
                    </a:stretch>
                  </pic:blipFill>
                  <pic:spPr bwMode="auto">
                    <a:xfrm>
                      <a:off x="0" y="0"/>
                      <a:ext cx="5791200" cy="32238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and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 Compensation Actually Paid and Company-Selected Measure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Sales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305879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3"/>
                    <a:stretch>
                      <a:fillRect/>
                    </a:stretch>
                  </pic:blipFill>
                  <pic:spPr bwMode="auto">
                    <a:xfrm>
                      <a:off x="0" y="0"/>
                      <a:ext cx="5791200" cy="30587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Tabular List of Most Important 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financial performance measures that the Company considers to have been the most important in linking Compensation Actually Paid to our PEO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for 2025 to Company performance. The measures in this table are not ranked. </w:t>
      </w:r>
    </w:p>
    <w:p>
      <w:pPr>
        <w:pStyle w:val="TextBody"/>
        <w:bidi w:val="0"/>
        <w:spacing w:before="0" w:after="0"/>
        <w:jc w:val="left"/>
        <w:rPr/>
      </w:pPr>
      <w:r>
        <w:rPr/>
        <w:t> </w:t>
      </w:r>
    </w:p>
    <w:tbl>
      <w:tblPr>
        <w:tblW w:w="3140" w:type="dxa"/>
        <w:jc w:val="left"/>
        <w:tblInd w:w="0" w:type="dxa"/>
        <w:tblLayout w:type="fixed"/>
        <w:tblCellMar>
          <w:top w:w="0" w:type="dxa"/>
          <w:left w:w="0" w:type="dxa"/>
          <w:bottom w:w="0" w:type="dxa"/>
          <w:right w:w="0" w:type="dxa"/>
        </w:tblCellMar>
      </w:tblPr>
      <w:tblGrid>
        <w:gridCol w:w="3140"/>
      </w:tblGrid>
      <w:tr>
        <w:trPr/>
        <w:tc>
          <w:tcPr>
            <w:tcW w:w="314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Relative TSR Percentile Rank</w:t>
            </w:r>
          </w:p>
          <w:p>
            <w:pPr>
              <w:pStyle w:val="TableContents"/>
              <w:bidi w:val="0"/>
              <w:spacing w:before="0" w:after="0"/>
              <w:jc w:val="left"/>
              <w:rPr>
                <w:rFonts w:ascii="Times New Roman" w:hAnsi="Times New Roman"/>
                <w:sz w:val="20"/>
              </w:rPr>
            </w:pPr>
            <w:r>
              <w:rPr>
                <w:rFonts w:ascii="Times New Roman" w:hAnsi="Times New Roman"/>
                <w:sz w:val="20"/>
              </w:rPr>
              <w:t>Net Sales</w:t>
            </w:r>
          </w:p>
          <w:p>
            <w:pPr>
              <w:pStyle w:val="TableContents"/>
              <w:bidi w:val="0"/>
              <w:spacing w:before="0" w:after="0"/>
              <w:jc w:val="left"/>
              <w:rPr>
                <w:rFonts w:ascii="Times New Roman" w:hAnsi="Times New Roman"/>
                <w:sz w:val="20"/>
              </w:rPr>
            </w:pPr>
            <w:r>
              <w:rPr>
                <w:rFonts w:ascii="Times New Roman" w:hAnsi="Times New Roman"/>
                <w:sz w:val="20"/>
              </w:rPr>
              <w:t>Net Revenue – Premier Nutrition</w:t>
            </w:r>
          </w:p>
          <w:p>
            <w:pPr>
              <w:pStyle w:val="TableContents"/>
              <w:bidi w:val="0"/>
              <w:spacing w:before="0" w:after="0"/>
              <w:jc w:val="left"/>
              <w:rPr>
                <w:rFonts w:ascii="Times New Roman" w:hAnsi="Times New Roman"/>
                <w:sz w:val="20"/>
              </w:rPr>
            </w:pPr>
            <w:r>
              <w:rPr>
                <w:rFonts w:ascii="Times New Roman" w:hAnsi="Times New Roman"/>
                <w:sz w:val="20"/>
              </w:rPr>
              <w:t>Adjusted EBITDA – Corporate</w:t>
            </w:r>
          </w:p>
          <w:p>
            <w:pPr>
              <w:pStyle w:val="TableContents"/>
              <w:bidi w:val="0"/>
              <w:spacing w:before="0" w:after="20"/>
              <w:jc w:val="left"/>
              <w:rPr>
                <w:rFonts w:ascii="Times New Roman" w:hAnsi="Times New Roman"/>
                <w:sz w:val="20"/>
              </w:rPr>
            </w:pPr>
            <w:r>
              <w:rPr>
                <w:rFonts w:ascii="Times New Roman" w:hAnsi="Times New Roman"/>
                <w:sz w:val="20"/>
              </w:rPr>
              <w:t>Adjusted EBITDA – Premier Nutrition</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30979_49"/>
      <w:bookmarkEnd w:id="45"/>
      <w:r>
        <w:rPr>
          <w:rFonts w:ascii="Times New Roman" w:hAnsi="Times New Roman"/>
          <w:b/>
          <w:sz w:val="20"/>
        </w:rPr>
        <w:t xml:space="preserve">NON-BINDING ADVISORY VOTE ON EXECUTIVE COMPENSATION </w:t>
      </w:r>
    </w:p>
    <w:p>
      <w:pPr>
        <w:pStyle w:val="TextBody"/>
        <w:bidi w:val="0"/>
        <w:spacing w:before="240" w:after="0"/>
        <w:jc w:val="center"/>
        <w:rPr>
          <w:rFonts w:ascii="Times New Roman" w:hAnsi="Times New Roman"/>
          <w:b/>
          <w:sz w:val="20"/>
        </w:rPr>
      </w:pPr>
      <w:r>
        <w:rPr>
          <w:rFonts w:ascii="Times New Roman" w:hAnsi="Times New Roman"/>
          <w:b/>
          <w:sz w:val="20"/>
        </w:rPr>
        <w:t xml:space="preserve">(Proxy Item No. 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 </w:t>
      </w:r>
    </w:p>
    <w:p>
      <w:pPr>
        <w:pStyle w:val="TextBody"/>
        <w:bidi w:val="0"/>
        <w:spacing w:before="120" w:after="0"/>
        <w:jc w:val="left"/>
        <w:rPr/>
      </w:pPr>
      <w:r>
        <w:rPr/>
        <w:t>“</w:t>
      </w:r>
      <w:r>
        <w:rPr>
          <w:rFonts w:ascii="Times New Roman" w:hAnsi="Times New Roman"/>
          <w:sz w:val="20"/>
        </w:rPr>
        <w:t xml:space="preserve">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 </w:t>
      </w:r>
    </w:p>
    <w:p>
      <w:pPr>
        <w:pStyle w:val="TextBody"/>
        <w:bidi w:val="0"/>
        <w:spacing w:before="240" w:after="0"/>
        <w:jc w:val="left"/>
        <w:rPr>
          <w:rFonts w:ascii="Times New Roman" w:hAnsi="Times New Roman"/>
          <w:sz w:val="20"/>
        </w:rPr>
      </w:pPr>
      <w:r>
        <w:rPr>
          <w:rFonts w:ascii="Times New Roman" w:hAnsi="Times New Roman"/>
          <w:sz w:val="20"/>
        </w:rPr>
        <w:t xml:space="preserve">Although the vote is non-binding, the Board of Directors and the Corporate Governance and Compensation Committee will review the voting results in connection with their ongoing evaluation of the Company’s executive compensation program.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unanimously recommends a vote “FOR” the advisory approval of the resolution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30979_50"/>
      <w:bookmarkEnd w:id="46"/>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47" w:name="toc30979_51"/>
      <w:bookmarkEnd w:id="47"/>
      <w:r>
        <w:rPr>
          <w:rFonts w:ascii="Times New Roman" w:hAnsi="Times New Roman"/>
          <w:b/>
          <w:sz w:val="20"/>
        </w:rPr>
        <w:t xml:space="preserve">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$16,500 plus expenses. We will reimburse brokers, banks and other nominees for costs, including postage and handling, reasonably incurred by them in sending proxy materials to the beneficial owners of our common stock. In addition to standard mail, our employees may make proxy solicitations via telephone or personal contact. Our employees will not receive additional compensation for these activities. </w:t>
      </w:r>
    </w:p>
    <w:p>
      <w:pPr>
        <w:pStyle w:val="TextBody"/>
        <w:bidi w:val="0"/>
        <w:spacing w:before="360" w:after="0"/>
        <w:jc w:val="left"/>
        <w:rPr>
          <w:rFonts w:ascii="Times New Roman" w:hAnsi="Times New Roman"/>
          <w:b/>
          <w:sz w:val="20"/>
        </w:rPr>
      </w:pPr>
      <w:bookmarkStart w:id="48" w:name="toc30979_52"/>
      <w:bookmarkEnd w:id="48"/>
      <w:r>
        <w:rPr>
          <w:rFonts w:ascii="Times New Roman" w:hAnsi="Times New Roman"/>
          <w:b/>
          <w:sz w:val="20"/>
        </w:rPr>
        <w:t xml:space="preserve">Stockholder Director Nominations and Proposals for the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Under our Bylaws, stockholders who desire to nominate a director or present any other business at an annual meeting of stockholders must follow certain procedures. Generally, to be considered at the 2027 annual meeting of stockholders, a stockholder nomination of a director or a proposal not to be included in the proxy statement and notice of meeting must be received by the corporate secretary between September 30, 2026 and October 30, 2026. However, if the stockholder desires that the proposal be included in our proxy statement and notice of meeting for the 2027 annual meeting of stockholders, then it must be received by our corporate secretary no later than August 18, 2026 and also must comply in all respects with the rules and regulations of the SEC and the laws of the State of Delaware. A copy of the Bylaws will be furnished to any stockholder without charge upon written request to our corporate secretary. </w:t>
      </w:r>
    </w:p>
    <w:p>
      <w:pPr>
        <w:pStyle w:val="TextBody"/>
        <w:bidi w:val="0"/>
        <w:spacing w:before="360" w:after="0"/>
        <w:jc w:val="left"/>
        <w:rPr>
          <w:rFonts w:ascii="Times New Roman" w:hAnsi="Times New Roman"/>
          <w:b/>
          <w:sz w:val="20"/>
        </w:rPr>
      </w:pPr>
      <w:bookmarkStart w:id="49" w:name="toc30979_53"/>
      <w:bookmarkEnd w:id="49"/>
      <w:r>
        <w:rPr>
          <w:rFonts w:ascii="Times New Roman" w:hAnsi="Times New Roman"/>
          <w:b/>
          <w:sz w:val="20"/>
        </w:rPr>
        <w:t xml:space="preserve">Form 10-K and Other Filings </w:t>
      </w:r>
    </w:p>
    <w:p>
      <w:pPr>
        <w:pStyle w:val="TextBody"/>
        <w:bidi w:val="0"/>
        <w:spacing w:before="120" w:after="0"/>
        <w:jc w:val="left"/>
        <w:rPr>
          <w:rFonts w:ascii="Times New Roman" w:hAnsi="Times New Roman"/>
          <w:sz w:val="20"/>
        </w:rPr>
      </w:pPr>
      <w:r>
        <w:rPr>
          <w:rFonts w:ascii="Times New Roman" w:hAnsi="Times New Roman"/>
          <w:sz w:val="20"/>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644-7652 or by mail at our principal executive offices at BellRing Brands, Inc., 1 N Brentwood Blvd., Suite 1550, St. Louis, Missouri 63105, Attention: Corporate Secretary. These documents also are available on our website at </w:t>
      </w:r>
      <w:r>
        <w:rPr>
          <w:rFonts w:ascii="Times New Roman" w:hAnsi="Times New Roman"/>
          <w:i/>
          <w:sz w:val="20"/>
        </w:rPr>
        <w:t xml:space="preserve">www.bellring.com </w:t>
      </w:r>
      <w:r>
        <w:rPr>
          <w:rFonts w:ascii="Times New Roman" w:hAnsi="Times New Roman"/>
          <w:sz w:val="20"/>
        </w:rPr>
        <w:t xml:space="preserve">and the website of the SEC at </w:t>
      </w:r>
      <w:r>
        <w:rPr>
          <w:rFonts w:ascii="Times New Roman" w:hAnsi="Times New Roman"/>
          <w:i/>
          <w:sz w:val="20"/>
        </w:rPr>
        <w:t>www.sec.gov</w:t>
      </w:r>
      <w:r>
        <w:rPr>
          <w:rFonts w:ascii="Times New Roman" w:hAnsi="Times New Roman"/>
          <w:sz w:val="20"/>
        </w:rPr>
        <w:t xml:space="preserve">. Information on our website does not constitute part of (and shall not be deemed incorporated by reference in) this proxy statement or any other document we file with the SEC. </w:t>
      </w:r>
    </w:p>
    <w:p>
      <w:pPr>
        <w:pStyle w:val="TextBody"/>
        <w:bidi w:val="0"/>
        <w:spacing w:before="360" w:after="0"/>
        <w:jc w:val="left"/>
        <w:rPr>
          <w:rFonts w:ascii="Times New Roman" w:hAnsi="Times New Roman"/>
          <w:b/>
          <w:sz w:val="20"/>
        </w:rPr>
      </w:pPr>
      <w:bookmarkStart w:id="50" w:name="toc30979_54"/>
      <w:bookmarkEnd w:id="50"/>
      <w:r>
        <w:rPr>
          <w:rFonts w:ascii="Times New Roman" w:hAnsi="Times New Roman"/>
          <w:b/>
          <w:sz w:val="20"/>
        </w:rPr>
        <w:t xml:space="preserve">Internet Availability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notice of annual meeting, proxy statement and our 2025 annual report to stockholders may be viewed online at </w:t>
      </w:r>
      <w:r>
        <w:rPr>
          <w:rFonts w:ascii="Times New Roman" w:hAnsi="Times New Roman"/>
          <w:i/>
          <w:sz w:val="20"/>
        </w:rPr>
        <w:t xml:space="preserve">www.envisionreports.com/BRBR </w:t>
      </w:r>
      <w:r>
        <w:rPr>
          <w:rFonts w:ascii="Times New Roman" w:hAnsi="Times New Roman"/>
          <w:sz w:val="20"/>
        </w:rPr>
        <w:t xml:space="preserve">and on our website at </w:t>
      </w:r>
      <w:r>
        <w:rPr>
          <w:rFonts w:ascii="Times New Roman" w:hAnsi="Times New Roman"/>
          <w:i/>
          <w:sz w:val="20"/>
        </w:rPr>
        <w:t>www.bellring.com</w:t>
      </w:r>
      <w:r>
        <w:rPr>
          <w:rFonts w:ascii="Times New Roman" w:hAnsi="Times New Roman"/>
          <w:sz w:val="20"/>
        </w:rPr>
        <w:t xml:space="preserve">. Information on our website does not constitute part of (and shall not be 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Times New Roman" w:hAnsi="Times New Roman"/>
          <w:i/>
          <w:sz w:val="20"/>
        </w:rPr>
        <w:t>Proxy and Voting Information</w:t>
      </w:r>
      <w:r>
        <w:rPr>
          <w:rFonts w:ascii="Times New Roman" w:hAnsi="Times New Roman"/>
          <w:sz w:val="20"/>
        </w:rPr>
        <w:t xml:space="preserve"> beginning on page 2 of this proxy statement. There, you also will find information about attending the annual meeting and voting your proxy, including where you may find the individual control numbers necessary to vote your shares by telephone or over the Internet.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and are interested in receiving future proxy statements and annual reports electronically, you should contact our transfer agent by accessing your account at </w:t>
      </w:r>
      <w:r>
        <w:rPr>
          <w:rFonts w:ascii="Times New Roman" w:hAnsi="Times New Roman"/>
          <w:i/>
          <w:sz w:val="20"/>
        </w:rPr>
        <w:t>www.envisionreports.com/ BRBR</w:t>
      </w:r>
      <w:r>
        <w:rPr>
          <w:rFonts w:ascii="Times New Roman" w:hAnsi="Times New Roman"/>
          <w:sz w:val="20"/>
        </w:rPr>
        <w:t xml:space="preserve"> and following the instructions as listed. If you hold shares of our common stock through a broker, bank or other nominee, please refer to the instructions provided by that entity for instructions on how to elect this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1" w:name="toc30979_55"/>
      <w:bookmarkEnd w:id="51"/>
      <w:r>
        <w:rPr>
          <w:rFonts w:ascii="Times New Roman" w:hAnsi="Times New Roman"/>
          <w:b/>
          <w:sz w:val="20"/>
        </w:rPr>
        <w:t xml:space="preserve">List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a period of 10 days prior to the annual meeting, a complete list of the stockholders entitled to vote at the annual meeting will be available and open to the inspection of any stockholder during normal business hours at our principal executive offices at 1 N Brentwood Blvd., Suite 1550, St. Louis, Missouri 63105. As our principal executive offices may be closed to accommodate remote work at certain times, please contact our corporate secretary by telephone at (314) 644-7652 in advance to arrange for inspection of the list of stockholders. A complete list of stockholders entitled to vote at the annual meeting also will be available at the annual meeting website during the meeting. </w:t>
      </w:r>
    </w:p>
    <w:p>
      <w:pPr>
        <w:pStyle w:val="TextBody"/>
        <w:bidi w:val="0"/>
        <w:spacing w:before="360" w:after="0"/>
        <w:jc w:val="left"/>
        <w:rPr>
          <w:rFonts w:ascii="Times New Roman" w:hAnsi="Times New Roman"/>
          <w:b/>
          <w:sz w:val="20"/>
        </w:rPr>
      </w:pPr>
      <w:bookmarkStart w:id="52" w:name="toc30979_56"/>
      <w:bookmarkEnd w:id="52"/>
      <w:r>
        <w:rPr>
          <w:rFonts w:ascii="Times New Roman" w:hAnsi="Times New Roman"/>
          <w:b/>
          <w:sz w:val="20"/>
        </w:rPr>
        <w:t xml:space="preserve">Householding </w:t>
      </w:r>
    </w:p>
    <w:p>
      <w:pPr>
        <w:pStyle w:val="TextBody"/>
        <w:bidi w:val="0"/>
        <w:spacing w:before="120" w:after="0"/>
        <w:jc w:val="left"/>
        <w:rPr>
          <w:rFonts w:ascii="Times New Roman" w:hAnsi="Times New Roman"/>
          <w:sz w:val="20"/>
        </w:rPr>
      </w:pPr>
      <w:r>
        <w:rPr>
          <w:rFonts w:ascii="Times New Roman" w:hAnsi="Times New Roman"/>
          <w:sz w:val="20"/>
        </w:rPr>
        <w:t xml:space="preserve">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1 N Brentwood Blvd., Suite 1550, St. Louis, Missouri 63105, Attention: Corporate Secretary. </w:t>
      </w:r>
    </w:p>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4090"/>
      </w:tblGrid>
      <w:tr>
        <w:trPr/>
        <w:tc>
          <w:tcPr>
            <w:tcW w:w="409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409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pPr>
            <w:r>
              <w:rPr/>
              <w:drawing>
                <wp:inline distT="0" distB="0" distL="0" distR="0">
                  <wp:extent cx="2540000" cy="37274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4"/>
                          <a:stretch>
                            <a:fillRect/>
                          </a:stretch>
                        </pic:blipFill>
                        <pic:spPr bwMode="auto">
                          <a:xfrm>
                            <a:off x="0" y="0"/>
                            <a:ext cx="2540000" cy="372745"/>
                          </a:xfrm>
                          <a:prstGeom prst="rect">
                            <a:avLst/>
                          </a:prstGeom>
                        </pic:spPr>
                      </pic:pic>
                    </a:graphicData>
                  </a:graphic>
                </wp:inline>
              </w:drawing>
            </w:r>
            <w:r>
              <w:rPr/>
              <w:t xml:space="preserve"> </w:t>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Craig L. Rosenthal</w:t>
            </w:r>
          </w:p>
        </w:tc>
      </w:tr>
      <w:tr>
        <w:trPr/>
        <w:tc>
          <w:tcPr>
            <w:tcW w:w="4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December 16,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2867025" cy="8953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5"/>
                    <a:stretch>
                      <a:fillRect/>
                    </a:stretch>
                  </pic:blipFill>
                  <pic:spPr bwMode="auto">
                    <a:xfrm>
                      <a:off x="0" y="0"/>
                      <a:ext cx="2867025" cy="895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4179570"/>
                <wp:effectExtent l="0" t="0" r="0" b="0"/>
                <wp:wrapSquare wrapText="right"/>
                <wp:docPr id="17" name="Frame4"/>
                <a:graphic xmlns:a="http://schemas.openxmlformats.org/drawingml/2006/main">
                  <a:graphicData uri="http://schemas.microsoft.com/office/word/2010/wordprocessingShape">
                    <wps:wsp>
                      <wps:cNvSpPr txBox="1"/>
                      <wps:spPr>
                        <a:xfrm>
                          <a:off x="0" y="0"/>
                          <a:ext cx="3175000" cy="41795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77"/>
                              <w:gridCol w:w="60"/>
                              <w:gridCol w:w="8517"/>
                              <w:gridCol w:w="60"/>
                              <w:gridCol w:w="791"/>
                            </w:tblGrid>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b/>
                                    </w:rPr>
                                  </w:pPr>
                                  <w:r>
                                    <w:rPr>
                                      <w:b/>
                                    </w:rPr>
                                    <w:t>Your vote matters – here’s how to vote!</w:t>
                                  </w:r>
                                </w:p>
                              </w:tc>
                            </w:tr>
                            <w:tr>
                              <w:trPr/>
                              <w:tc>
                                <w:tcPr>
                                  <w:tcW w:w="10205" w:type="dxa"/>
                                  <w:gridSpan w:val="5"/>
                                  <w:tcBorders/>
                                  <w:vAlign w:val="center"/>
                                </w:tcPr>
                                <w:p>
                                  <w:pPr>
                                    <w:pStyle w:val="TableContents"/>
                                    <w:bidi w:val="0"/>
                                    <w:spacing w:before="0" w:after="0"/>
                                    <w:jc w:val="both"/>
                                    <w:rPr>
                                      <w:rFonts w:ascii="ARIAL" w:hAnsi="ARIAL"/>
                                      <w:sz w:val="20"/>
                                    </w:rPr>
                                  </w:pPr>
                                  <w:r>
                                    <w:rPr>
                                      <w:rFonts w:ascii="ARIAL" w:hAnsi="ARIAL"/>
                                      <w:sz w:val="20"/>
                                    </w:rPr>
                                    <w:t>You may vote online or by phone instead of mailing this card.</w:t>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0"/>
                                    <w:jc w:val="both"/>
                                    <w:rPr>
                                      <w:rFonts w:ascii="ARIAL" w:hAnsi="ARIAL"/>
                                      <w:b/>
                                      <w:sz w:val="20"/>
                                    </w:rPr>
                                  </w:pPr>
                                  <w:r>
                                    <w:rPr>
                                      <w:rFonts w:ascii="ARIAL" w:hAnsi="ARIAL"/>
                                      <w:b/>
                                      <w:sz w:val="20"/>
                                    </w:rPr>
                                    <w:t>Online</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0"/>
                                    <w:jc w:val="both"/>
                                    <w:rPr/>
                                  </w:pPr>
                                  <w:r>
                                    <w:rPr/>
                                    <w:t>    </w:t>
                                  </w:r>
                                </w:p>
                              </w:tc>
                            </w:tr>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pPr>
                                  <w:r>
                                    <w:rPr/>
                                    <w:t xml:space="preserve">Go to </w:t>
                                  </w:r>
                                  <w:r>
                                    <w:rPr>
                                      <w:b/>
                                    </w:rPr>
                                    <w:t xml:space="preserve">www.envisionreports.com/BRBR </w:t>
                                  </w:r>
                                  <w:r>
                                    <w:rPr/>
                                    <w:t>or scan the QR code – login details are located in the shaded bar below.</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drawing>
                                      <wp:inline distT="0" distB="0" distL="0" distR="0">
                                        <wp:extent cx="333375" cy="5048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6"/>
                                                <a:stretch>
                                                  <a:fillRect/>
                                                </a:stretch>
                                              </pic:blipFill>
                                              <pic:spPr bwMode="auto">
                                                <a:xfrm>
                                                  <a:off x="0" y="0"/>
                                                  <a:ext cx="333375" cy="5048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0"/>
                                    <w:jc w:val="left"/>
                                    <w:rPr>
                                      <w:rFonts w:ascii="ARIAL" w:hAnsi="ARIAL"/>
                                      <w:b/>
                                      <w:sz w:val="20"/>
                                    </w:rPr>
                                  </w:pPr>
                                  <w:r>
                                    <w:rPr>
                                      <w:rFonts w:ascii="ARIAL" w:hAnsi="ARIAL"/>
                                      <w:b/>
                                      <w:sz w:val="20"/>
                                    </w:rPr>
                                    <w:t>Phone</w:t>
                                  </w:r>
                                </w:p>
                                <w:p>
                                  <w:pPr>
                                    <w:pStyle w:val="TableContents"/>
                                    <w:bidi w:val="0"/>
                                    <w:spacing w:before="0" w:after="20"/>
                                    <w:jc w:val="left"/>
                                    <w:rPr>
                                      <w:rFonts w:ascii="ARIAL" w:hAnsi="ARIAL"/>
                                      <w:sz w:val="20"/>
                                    </w:rPr>
                                  </w:pPr>
                                  <w:r>
                                    <w:rPr>
                                      <w:rFonts w:ascii="ARIAL" w:hAnsi="ARIAL"/>
                                      <w:sz w:val="20"/>
                                    </w:rPr>
                                    <w:t>Call toll free 1-800-652-VOTE (8683) within the USA, US territories and Canada</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vMerge w:val="restart"/>
                                  <w:tcBorders/>
                                  <w:vAlign w:val="center"/>
                                </w:tcPr>
                                <w:p>
                                  <w:pPr>
                                    <w:pStyle w:val="TableContents"/>
                                    <w:bidi w:val="0"/>
                                    <w:spacing w:before="0" w:after="283"/>
                                    <w:jc w:val="center"/>
                                    <w:rPr/>
                                  </w:pPr>
                                  <w:r>
                                    <w:rPr/>
                                    <w:drawing>
                                      <wp:inline distT="0" distB="0" distL="0" distR="0">
                                        <wp:extent cx="457200" cy="44767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7"/>
                                                <a:stretch>
                                                  <a:fillRect/>
                                                </a:stretch>
                                              </pic:blipFill>
                                              <pic:spPr bwMode="auto">
                                                <a:xfrm>
                                                  <a:off x="0" y="0"/>
                                                  <a:ext cx="457200" cy="4476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Save paper, time and money!</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Sign up for electronic delivery at</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www.envisionreports.com/BRBR</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9.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77"/>
                        <w:gridCol w:w="60"/>
                        <w:gridCol w:w="8517"/>
                        <w:gridCol w:w="60"/>
                        <w:gridCol w:w="791"/>
                      </w:tblGrid>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b/>
                              </w:rPr>
                            </w:pPr>
                            <w:r>
                              <w:rPr>
                                <w:b/>
                              </w:rPr>
                              <w:t>Your vote matters – here’s how to vote!</w:t>
                            </w:r>
                          </w:p>
                        </w:tc>
                      </w:tr>
                      <w:tr>
                        <w:trPr/>
                        <w:tc>
                          <w:tcPr>
                            <w:tcW w:w="10205" w:type="dxa"/>
                            <w:gridSpan w:val="5"/>
                            <w:tcBorders/>
                            <w:vAlign w:val="center"/>
                          </w:tcPr>
                          <w:p>
                            <w:pPr>
                              <w:pStyle w:val="TableContents"/>
                              <w:bidi w:val="0"/>
                              <w:spacing w:before="0" w:after="0"/>
                              <w:jc w:val="both"/>
                              <w:rPr>
                                <w:rFonts w:ascii="ARIAL" w:hAnsi="ARIAL"/>
                                <w:sz w:val="20"/>
                              </w:rPr>
                            </w:pPr>
                            <w:r>
                              <w:rPr>
                                <w:rFonts w:ascii="ARIAL" w:hAnsi="ARIAL"/>
                                <w:sz w:val="20"/>
                              </w:rPr>
                              <w:t>You may vote online or by phone instead of mailing this card.</w:t>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0"/>
                              <w:jc w:val="both"/>
                              <w:rPr>
                                <w:rFonts w:ascii="ARIAL" w:hAnsi="ARIAL"/>
                                <w:b/>
                                <w:sz w:val="20"/>
                              </w:rPr>
                            </w:pPr>
                            <w:r>
                              <w:rPr>
                                <w:rFonts w:ascii="ARIAL" w:hAnsi="ARIAL"/>
                                <w:b/>
                                <w:sz w:val="20"/>
                              </w:rPr>
                              <w:t>Online</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0"/>
                              <w:jc w:val="both"/>
                              <w:rPr/>
                            </w:pPr>
                            <w:r>
                              <w:rPr/>
                              <w:t>    </w:t>
                            </w:r>
                          </w:p>
                        </w:tc>
                      </w:tr>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pPr>
                            <w:r>
                              <w:rPr/>
                              <w:t xml:space="preserve">Go to </w:t>
                            </w:r>
                            <w:r>
                              <w:rPr>
                                <w:b/>
                              </w:rPr>
                              <w:t xml:space="preserve">www.envisionreports.com/BRBR </w:t>
                            </w:r>
                            <w:r>
                              <w:rPr/>
                              <w:t>or scan the QR code – login details are located in the shaded bar below.</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drawing>
                                <wp:inline distT="0" distB="0" distL="0" distR="0">
                                  <wp:extent cx="333375" cy="5048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8"/>
                                          <a:stretch>
                                            <a:fillRect/>
                                          </a:stretch>
                                        </pic:blipFill>
                                        <pic:spPr bwMode="auto">
                                          <a:xfrm>
                                            <a:off x="0" y="0"/>
                                            <a:ext cx="333375" cy="5048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0"/>
                              <w:jc w:val="left"/>
                              <w:rPr>
                                <w:rFonts w:ascii="ARIAL" w:hAnsi="ARIAL"/>
                                <w:b/>
                                <w:sz w:val="20"/>
                              </w:rPr>
                            </w:pPr>
                            <w:r>
                              <w:rPr>
                                <w:rFonts w:ascii="ARIAL" w:hAnsi="ARIAL"/>
                                <w:b/>
                                <w:sz w:val="20"/>
                              </w:rPr>
                              <w:t>Phone</w:t>
                            </w:r>
                          </w:p>
                          <w:p>
                            <w:pPr>
                              <w:pStyle w:val="TableContents"/>
                              <w:bidi w:val="0"/>
                              <w:spacing w:before="0" w:after="20"/>
                              <w:jc w:val="left"/>
                              <w:rPr>
                                <w:rFonts w:ascii="ARIAL" w:hAnsi="ARIAL"/>
                                <w:sz w:val="20"/>
                              </w:rPr>
                            </w:pPr>
                            <w:r>
                              <w:rPr>
                                <w:rFonts w:ascii="ARIAL" w:hAnsi="ARIAL"/>
                                <w:sz w:val="20"/>
                              </w:rPr>
                              <w:t>Call toll free 1-800-652-VOTE (8683) within the USA, US territories and Canada</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77" w:type="dxa"/>
                            <w:vMerge w:val="restart"/>
                            <w:tcBorders/>
                            <w:vAlign w:val="center"/>
                          </w:tcPr>
                          <w:p>
                            <w:pPr>
                              <w:pStyle w:val="TableContents"/>
                              <w:bidi w:val="0"/>
                              <w:spacing w:before="0" w:after="283"/>
                              <w:jc w:val="center"/>
                              <w:rPr/>
                            </w:pPr>
                            <w:r>
                              <w:rPr/>
                              <w:drawing>
                                <wp:inline distT="0" distB="0" distL="0" distR="0">
                                  <wp:extent cx="457200" cy="44767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9"/>
                                          <a:stretch>
                                            <a:fillRect/>
                                          </a:stretch>
                                        </pic:blipFill>
                                        <pic:spPr bwMode="auto">
                                          <a:xfrm>
                                            <a:off x="0" y="0"/>
                                            <a:ext cx="457200" cy="4476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Save paper, time and money!</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Sign up for electronic delivery at</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r>
                        <w:trPr/>
                        <w:tc>
                          <w:tcPr>
                            <w:tcW w:w="77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b/>
                              </w:rPr>
                            </w:pPr>
                            <w:r>
                              <w:rPr>
                                <w:b/>
                              </w:rPr>
                              <w:t>www.envisionreports.com/BRBR</w:t>
                            </w:r>
                          </w:p>
                        </w:tc>
                        <w:tc>
                          <w:tcPr>
                            <w:tcW w:w="6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10230" cy="1091565"/>
                <wp:effectExtent l="0" t="0" r="0" b="0"/>
                <wp:wrapSquare wrapText="right"/>
                <wp:docPr id="22" name="Frame3"/>
                <a:graphic xmlns:a="http://schemas.openxmlformats.org/drawingml/2006/main">
                  <a:graphicData uri="http://schemas.microsoft.com/office/word/2010/wordprocessingShape">
                    <wps:wsp>
                      <wps:cNvSpPr txBox="1"/>
                      <wps:spPr>
                        <a:xfrm>
                          <a:off x="0" y="0"/>
                          <a:ext cx="3110230" cy="1091565"/>
                        </a:xfrm>
                        <a:prstGeom prst="rect"/>
                        <a:solidFill>
                          <a:srgbClr val="FFFFFF"/>
                        </a:solidFill>
                      </wps:spPr>
                      <wps:txbx>
                        <w:txbxContent>
                          <w:p>
                            <w:pPr>
                              <w:pStyle w:val="TextBody"/>
                              <w:bidi w:val="0"/>
                              <w:spacing w:before="0" w:after="0"/>
                              <w:jc w:val="both"/>
                              <w:rPr/>
                            </w:pPr>
                            <w:r>
                              <w:rPr/>
                              <w:t xml:space="preserve">  </w:t>
                            </w:r>
                          </w:p>
                          <w:p>
                            <w:pPr>
                              <w:pStyle w:val="TextBody"/>
                              <w:bidi w:val="0"/>
                              <w:spacing w:before="0" w:after="0"/>
                              <w:jc w:val="both"/>
                              <w:rPr/>
                            </w:pPr>
                            <w:r>
                              <w:rPr/>
                              <w:t xml:space="preserve">  </w:t>
                            </w:r>
                          </w:p>
                          <w:tbl>
                            <w:tblPr>
                              <w:tblW w:w="5465" w:type="dxa"/>
                              <w:jc w:val="left"/>
                              <w:tblInd w:w="0" w:type="dxa"/>
                              <w:tblLayout w:type="fixed"/>
                              <w:tblCellMar>
                                <w:top w:w="0" w:type="dxa"/>
                                <w:left w:w="0" w:type="dxa"/>
                                <w:bottom w:w="0" w:type="dxa"/>
                                <w:right w:w="0" w:type="dxa"/>
                              </w:tblCellMar>
                            </w:tblPr>
                            <w:tblGrid>
                              <w:gridCol w:w="4760"/>
                              <w:gridCol w:w="60"/>
                              <w:gridCol w:w="645"/>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both"/>
                                    <w:rPr>
                                      <w:rFonts w:ascii="ARIAL" w:hAnsi="ARIAL"/>
                                      <w:sz w:val="14"/>
                                    </w:rPr>
                                  </w:pPr>
                                  <w:r>
                                    <w:rPr>
                                      <w:rFonts w:ascii="ARIAL" w:hAnsi="ARIAL"/>
                                      <w:sz w:val="14"/>
                                    </w:rPr>
                                    <w:t xml:space="preserve">Using a </w:t>
                                  </w:r>
                                  <w:r>
                                    <w:rPr>
                                      <w:rFonts w:ascii="ARIAL" w:hAnsi="ARIAL"/>
                                      <w:b/>
                                      <w:sz w:val="14"/>
                                      <w:u w:val="single"/>
                                    </w:rPr>
                                    <w:t>black ink</w:t>
                                  </w:r>
                                  <w:r>
                                    <w:rPr>
                                      <w:rFonts w:ascii="ARIAL" w:hAnsi="ARIAL"/>
                                      <w:b/>
                                      <w:sz w:val="14"/>
                                    </w:rPr>
                                    <w:t xml:space="preserve"> </w:t>
                                  </w:r>
                                  <w:r>
                                    <w:rPr>
                                      <w:rFonts w:ascii="ARIAL" w:hAnsi="ARIAL"/>
                                      <w:sz w:val="14"/>
                                    </w:rPr>
                                    <w:t xml:space="preserve">pen, mark your votes with an </w:t>
                                  </w:r>
                                  <w:r>
                                    <w:rPr>
                                      <w:rFonts w:ascii="ARIAL" w:hAnsi="ARIAL"/>
                                      <w:b/>
                                      <w:sz w:val="14"/>
                                    </w:rPr>
                                    <w:t xml:space="preserve">X </w:t>
                                  </w:r>
                                  <w:r>
                                    <w:rPr>
                                      <w:rFonts w:ascii="ARIAL" w:hAnsi="ARIAL"/>
                                      <w:sz w:val="14"/>
                                    </w:rPr>
                                    <w:t>as shown in this example.</w:t>
                                  </w:r>
                                </w:p>
                                <w:p>
                                  <w:pPr>
                                    <w:pStyle w:val="TableContents"/>
                                    <w:bidi w:val="0"/>
                                    <w:spacing w:before="0" w:after="20"/>
                                    <w:jc w:val="both"/>
                                    <w:rPr>
                                      <w:rFonts w:ascii="ARIAL" w:hAnsi="ARIAL"/>
                                      <w:sz w:val="14"/>
                                    </w:rPr>
                                  </w:pPr>
                                  <w:r>
                                    <w:rPr>
                                      <w:rFonts w:ascii="ARIAL" w:hAnsi="ARIAL"/>
                                      <w:sz w:val="14"/>
                                    </w:rPr>
                                    <w:t>Please do not write outside the designated areas.</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0"/>
                                    <w:jc w:val="left"/>
                                    <w:rPr/>
                                  </w:pPr>
                                  <w:r>
                                    <w:rPr/>
                                    <w:drawing>
                                      <wp:inline distT="0" distB="0" distL="0" distR="0">
                                        <wp:extent cx="361950" cy="32385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20"/>
                                                <a:stretch>
                                                  <a:fillRect/>
                                                </a:stretch>
                                              </pic:blipFill>
                                              <pic:spPr bwMode="auto">
                                                <a:xfrm>
                                                  <a:off x="0" y="0"/>
                                                  <a:ext cx="361950" cy="32385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5.9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both"/>
                        <w:rPr/>
                      </w:pPr>
                      <w:r>
                        <w:rPr/>
                        <w:t xml:space="preserve">  </w:t>
                      </w:r>
                    </w:p>
                    <w:p>
                      <w:pPr>
                        <w:pStyle w:val="TextBody"/>
                        <w:bidi w:val="0"/>
                        <w:spacing w:before="0" w:after="0"/>
                        <w:jc w:val="both"/>
                        <w:rPr/>
                      </w:pPr>
                      <w:r>
                        <w:rPr/>
                        <w:t xml:space="preserve">  </w:t>
                      </w:r>
                    </w:p>
                    <w:tbl>
                      <w:tblPr>
                        <w:tblW w:w="5465" w:type="dxa"/>
                        <w:jc w:val="left"/>
                        <w:tblInd w:w="0" w:type="dxa"/>
                        <w:tblLayout w:type="fixed"/>
                        <w:tblCellMar>
                          <w:top w:w="0" w:type="dxa"/>
                          <w:left w:w="0" w:type="dxa"/>
                          <w:bottom w:w="0" w:type="dxa"/>
                          <w:right w:w="0" w:type="dxa"/>
                        </w:tblCellMar>
                      </w:tblPr>
                      <w:tblGrid>
                        <w:gridCol w:w="4760"/>
                        <w:gridCol w:w="60"/>
                        <w:gridCol w:w="645"/>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both"/>
                              <w:rPr>
                                <w:rFonts w:ascii="ARIAL" w:hAnsi="ARIAL"/>
                                <w:sz w:val="14"/>
                              </w:rPr>
                            </w:pPr>
                            <w:r>
                              <w:rPr>
                                <w:rFonts w:ascii="ARIAL" w:hAnsi="ARIAL"/>
                                <w:sz w:val="14"/>
                              </w:rPr>
                              <w:t xml:space="preserve">Using a </w:t>
                            </w:r>
                            <w:r>
                              <w:rPr>
                                <w:rFonts w:ascii="ARIAL" w:hAnsi="ARIAL"/>
                                <w:b/>
                                <w:sz w:val="14"/>
                                <w:u w:val="single"/>
                              </w:rPr>
                              <w:t>black ink</w:t>
                            </w:r>
                            <w:r>
                              <w:rPr>
                                <w:rFonts w:ascii="ARIAL" w:hAnsi="ARIAL"/>
                                <w:b/>
                                <w:sz w:val="14"/>
                              </w:rPr>
                              <w:t xml:space="preserve"> </w:t>
                            </w:r>
                            <w:r>
                              <w:rPr>
                                <w:rFonts w:ascii="ARIAL" w:hAnsi="ARIAL"/>
                                <w:sz w:val="14"/>
                              </w:rPr>
                              <w:t xml:space="preserve">pen, mark your votes with an </w:t>
                            </w:r>
                            <w:r>
                              <w:rPr>
                                <w:rFonts w:ascii="ARIAL" w:hAnsi="ARIAL"/>
                                <w:b/>
                                <w:sz w:val="14"/>
                              </w:rPr>
                              <w:t xml:space="preserve">X </w:t>
                            </w:r>
                            <w:r>
                              <w:rPr>
                                <w:rFonts w:ascii="ARIAL" w:hAnsi="ARIAL"/>
                                <w:sz w:val="14"/>
                              </w:rPr>
                              <w:t>as shown in this example.</w:t>
                            </w:r>
                          </w:p>
                          <w:p>
                            <w:pPr>
                              <w:pStyle w:val="TableContents"/>
                              <w:bidi w:val="0"/>
                              <w:spacing w:before="0" w:after="20"/>
                              <w:jc w:val="both"/>
                              <w:rPr>
                                <w:rFonts w:ascii="ARIAL" w:hAnsi="ARIAL"/>
                                <w:sz w:val="14"/>
                              </w:rPr>
                            </w:pPr>
                            <w:r>
                              <w:rPr>
                                <w:rFonts w:ascii="ARIAL" w:hAnsi="ARIAL"/>
                                <w:sz w:val="14"/>
                              </w:rPr>
                              <w:t>Please do not write outside the designated areas.</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0"/>
                              <w:jc w:val="left"/>
                              <w:rPr/>
                            </w:pPr>
                            <w:r>
                              <w:rPr/>
                              <w:drawing>
                                <wp:inline distT="0" distB="0" distL="0" distR="0">
                                  <wp:extent cx="361950" cy="32385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21"/>
                                          <a:stretch>
                                            <a:fillRect/>
                                          </a:stretch>
                                        </pic:blipFill>
                                        <pic:spPr bwMode="auto">
                                          <a:xfrm>
                                            <a:off x="0" y="0"/>
                                            <a:ext cx="361950" cy="32385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pPr>
      <w:r>
        <w:rPr/>
        <w:drawing>
          <wp:inline distT="0" distB="0" distL="0" distR="0">
            <wp:extent cx="7772400" cy="42862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22"/>
                    <a:stretch>
                      <a:fillRect/>
                    </a:stretch>
                  </pic:blipFill>
                  <pic:spPr bwMode="auto">
                    <a:xfrm>
                      <a:off x="0" y="0"/>
                      <a:ext cx="7772400" cy="428625"/>
                    </a:xfrm>
                    <a:prstGeom prst="rect">
                      <a:avLst/>
                    </a:prstGeom>
                  </pic:spPr>
                </pic:pic>
              </a:graphicData>
            </a:graphic>
          </wp:inline>
        </w:drawing>
      </w:r>
      <w:r>
        <w:rPr/>
        <w:t xml:space="preserve"> </w:t>
      </w:r>
    </w:p>
    <w:p>
      <w:pPr>
        <w:pStyle w:val="TextBody"/>
        <w:bidi w:val="0"/>
        <w:spacing w:before="80" w:after="0"/>
        <w:jc w:val="center"/>
        <w:rPr/>
      </w:pPr>
      <w:r>
        <w:rPr/>
        <w:drawing>
          <wp:inline distT="0" distB="0" distL="0" distR="0">
            <wp:extent cx="171450" cy="1524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23"/>
                    <a:stretch>
                      <a:fillRect/>
                    </a:stretch>
                  </pic:blipFill>
                  <pic:spPr bwMode="auto">
                    <a:xfrm>
                      <a:off x="0" y="0"/>
                      <a:ext cx="171450" cy="152400"/>
                    </a:xfrm>
                    <a:prstGeom prst="rect">
                      <a:avLst/>
                    </a:prstGeom>
                  </pic:spPr>
                </pic:pic>
              </a:graphicData>
            </a:graphic>
          </wp:inline>
        </w:drawing>
      </w:r>
      <w:r>
        <w:rPr/>
        <w:t xml:space="preserve"> </w:t>
      </w:r>
      <w:r>
        <w:rPr>
          <w:rFonts w:ascii="ARIAL" w:hAnsi="ARIAL"/>
          <w:b/>
          <w:sz w:val="16"/>
        </w:rPr>
        <w:t xml:space="preserve">IF VOTING BY MAIL, SIGN, DETACH AND RETURN THE BOTTOM PORTION IN THE ENCLOSED ENVELOPE. </w:t>
      </w:r>
      <w:r>
        <w:rPr>
          <w:rFonts w:ascii="ARIAL" w:hAnsi="ARIAL"/>
          <w:b/>
          <w:sz w:val="16"/>
        </w:rPr>
        <w:drawing>
          <wp:inline distT="0" distB="0" distL="0" distR="0">
            <wp:extent cx="171450" cy="1524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24"/>
                    <a:stretch>
                      <a:fillRect/>
                    </a:stretch>
                  </pic:blipFill>
                  <pic:spPr bwMode="auto">
                    <a:xfrm>
                      <a:off x="0" y="0"/>
                      <a:ext cx="171450" cy="152400"/>
                    </a:xfrm>
                    <a:prstGeom prst="rect">
                      <a:avLst/>
                    </a:prstGeom>
                  </pic:spPr>
                </pic:pic>
              </a:graphicData>
            </a:graphic>
          </wp:inline>
        </w:drawing>
      </w:r>
      <w:r>
        <w:rPr>
          <w:rFonts w:ascii="ARIAL" w:hAnsi="ARIAL"/>
          <w:b/>
          <w:sz w:val="16"/>
        </w:rPr>
        <w:t xml:space="preserve">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350"/>
        <w:gridCol w:w="60"/>
        <w:gridCol w:w="8435"/>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35" w:type="dxa"/>
            <w:tcBorders/>
            <w:vAlign w:val="center"/>
          </w:tcPr>
          <w:p>
            <w:pPr>
              <w:pStyle w:val="TableContents"/>
              <w:bidi w:val="0"/>
              <w:spacing w:before="0" w:after="283"/>
              <w:jc w:val="left"/>
              <w:rPr>
                <w:sz w:val="4"/>
                <w:szCs w:val="4"/>
              </w:rPr>
            </w:pPr>
            <w:r>
              <w:rPr>
                <w:sz w:val="4"/>
                <w:szCs w:val="4"/>
              </w:rPr>
            </w:r>
          </w:p>
        </w:tc>
      </w:tr>
      <w:tr>
        <w:trPr/>
        <w:tc>
          <w:tcPr>
            <w:tcW w:w="350" w:type="dxa"/>
            <w:tcBorders/>
            <w:shd w:fill="000000" w:val="clear"/>
            <w:vAlign w:val="center"/>
          </w:tcPr>
          <w:p>
            <w:pPr>
              <w:pStyle w:val="TableContents"/>
              <w:bidi w:val="0"/>
              <w:spacing w:before="0" w:after="283"/>
              <w:jc w:val="left"/>
              <w:rPr>
                <w:sz w:val="4"/>
                <w:szCs w:val="4"/>
              </w:rPr>
            </w:pPr>
            <w:r>
              <w:rPr>
                <w:sz w:val="4"/>
                <w:szCs w:val="4"/>
              </w:rPr>
            </w:r>
          </w:p>
        </w:tc>
        <w:tc>
          <w:tcPr>
            <w:tcW w:w="8495" w:type="dxa"/>
            <w:gridSpan w:val="2"/>
            <w:tcBorders/>
            <w:shd w:fill="D9D9D9" w:val="clear"/>
            <w:vAlign w:val="center"/>
          </w:tcPr>
          <w:p>
            <w:pPr>
              <w:pStyle w:val="TableContents"/>
              <w:bidi w:val="0"/>
              <w:spacing w:before="0" w:after="283"/>
              <w:jc w:val="left"/>
              <w:rPr>
                <w:sz w:val="4"/>
                <w:szCs w:val="4"/>
              </w:rPr>
            </w:pPr>
            <w:r>
              <w:rPr>
                <w:sz w:val="4"/>
                <w:szCs w:val="4"/>
              </w:rPr>
            </w:r>
          </w:p>
        </w:tc>
      </w:tr>
      <w:tr>
        <w:trPr/>
        <w:tc>
          <w:tcPr>
            <w:tcW w:w="350" w:type="dxa"/>
            <w:tcBorders/>
            <w:shd w:fill="000000" w:val="clear"/>
            <w:vAlign w:val="center"/>
          </w:tcPr>
          <w:p>
            <w:pPr>
              <w:pStyle w:val="TableContents"/>
              <w:bidi w:val="0"/>
              <w:spacing w:before="0" w:after="0"/>
              <w:jc w:val="both"/>
              <w:rPr>
                <w:color w:val="FFFFFF"/>
              </w:rPr>
            </w:pPr>
            <w:r>
              <w:rPr>
                <w:color w:val="FFFFFF"/>
              </w:rPr>
              <w:t> </w:t>
            </w:r>
            <w:r>
              <w:rPr>
                <w:rFonts w:ascii="ARIAL" w:hAnsi="ARIAL"/>
                <w:b/>
                <w:color w:val="FFFFFF"/>
                <w:sz w:val="20"/>
              </w:rPr>
              <w:t>A</w:t>
            </w:r>
            <w:r>
              <w:rPr>
                <w:rFonts w:ascii="ARIAL" w:hAnsi="ARIAL"/>
                <w:color w:val="FFFFFF"/>
                <w:sz w:val="20"/>
              </w:rPr>
              <w:t> </w:t>
            </w:r>
          </w:p>
        </w:tc>
        <w:tc>
          <w:tcPr>
            <w:tcW w:w="60" w:type="dxa"/>
            <w:tcBorders/>
            <w:shd w:fill="D9D9D9" w:val="clear"/>
            <w:vAlign w:val="center"/>
          </w:tcPr>
          <w:p>
            <w:pPr>
              <w:pStyle w:val="TableContents"/>
              <w:bidi w:val="0"/>
              <w:spacing w:before="0" w:after="283"/>
              <w:jc w:val="left"/>
              <w:rPr/>
            </w:pPr>
            <w:r>
              <w:rPr/>
              <w:t> </w:t>
            </w:r>
          </w:p>
        </w:tc>
        <w:tc>
          <w:tcPr>
            <w:tcW w:w="8435" w:type="dxa"/>
            <w:tcBorders/>
            <w:shd w:fill="D9D9D9" w:val="clear"/>
            <w:vAlign w:val="center"/>
          </w:tcPr>
          <w:p>
            <w:pPr>
              <w:pStyle w:val="TableContents"/>
              <w:bidi w:val="0"/>
              <w:spacing w:before="0" w:after="0"/>
              <w:jc w:val="both"/>
              <w:rPr>
                <w:rFonts w:ascii="ARIAL" w:hAnsi="ARIAL"/>
                <w:b/>
                <w:sz w:val="20"/>
              </w:rPr>
            </w:pPr>
            <w:r>
              <w:rPr>
                <w:rFonts w:ascii="ARIAL" w:hAnsi="ARIAL"/>
                <w:b/>
                <w:sz w:val="20"/>
              </w:rPr>
              <w:t>Proposals – The Board recommends a vote FOR all nominees and FOR proposals 2 and 3.</w:t>
            </w:r>
          </w:p>
        </w:tc>
      </w:tr>
    </w:tbl>
    <w:p>
      <w:pPr>
        <w:pStyle w:val="TextBody"/>
        <w:bidi w:val="0"/>
        <w:spacing w:before="0" w:after="0"/>
        <w:jc w:val="left"/>
        <w:rPr/>
      </w:pPr>
      <w:r>
        <w:rPr/>
        <w:t> </w:t>
      </w:r>
    </w:p>
    <w:tbl>
      <w:tblPr>
        <w:tblW w:w="11920" w:type="dxa"/>
        <w:jc w:val="left"/>
        <w:tblInd w:w="0" w:type="dxa"/>
        <w:tblLayout w:type="fixed"/>
        <w:tblCellMar>
          <w:top w:w="0" w:type="dxa"/>
          <w:left w:w="0" w:type="dxa"/>
          <w:bottom w:w="0" w:type="dxa"/>
          <w:right w:w="0" w:type="dxa"/>
        </w:tblCellMar>
      </w:tblPr>
      <w:tblGrid>
        <w:gridCol w:w="1715"/>
        <w:gridCol w:w="60"/>
        <w:gridCol w:w="290"/>
        <w:gridCol w:w="60"/>
        <w:gridCol w:w="695"/>
        <w:gridCol w:w="60"/>
        <w:gridCol w:w="535"/>
        <w:gridCol w:w="81"/>
        <w:gridCol w:w="1083"/>
        <w:gridCol w:w="81"/>
        <w:gridCol w:w="1105"/>
        <w:gridCol w:w="60"/>
        <w:gridCol w:w="140"/>
        <w:gridCol w:w="60"/>
        <w:gridCol w:w="290"/>
        <w:gridCol w:w="60"/>
        <w:gridCol w:w="695"/>
        <w:gridCol w:w="60"/>
        <w:gridCol w:w="2315"/>
        <w:gridCol w:w="60"/>
        <w:gridCol w:w="665"/>
        <w:gridCol w:w="60"/>
        <w:gridCol w:w="800"/>
        <w:gridCol w:w="60"/>
        <w:gridCol w:w="830"/>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16"/>
              </w:rPr>
            </w:pPr>
            <w:r>
              <w:rPr>
                <w:sz w:val="16"/>
              </w:rPr>
              <w:t>1. Election of Directors:</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drawing>
                <wp:inline distT="0" distB="0" distL="0" distR="0">
                  <wp:extent cx="266700" cy="2667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5"/>
                          <a:stretch>
                            <a:fillRect/>
                          </a:stretch>
                        </pic:blipFill>
                        <pic:spPr bwMode="auto">
                          <a:xfrm>
                            <a:off x="0" y="0"/>
                            <a:ext cx="266700" cy="266700"/>
                          </a:xfrm>
                          <a:prstGeom prst="rect">
                            <a:avLst/>
                          </a:prstGeom>
                        </pic:spPr>
                      </pic:pic>
                    </a:graphicData>
                  </a:graphic>
                </wp:inline>
              </w:drawing>
            </w:r>
            <w:r>
              <w:rPr/>
              <w:t xml:space="preserve">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b/>
                <w:sz w:val="16"/>
              </w:rPr>
            </w:pPr>
            <w:r>
              <w:rPr>
                <w:b/>
                <w:sz w:val="16"/>
              </w:rPr>
              <w:t>For</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b/>
                <w:sz w:val="16"/>
              </w:rPr>
            </w:pPr>
            <w:r>
              <w:rPr>
                <w:b/>
                <w:sz w:val="16"/>
              </w:rPr>
              <w:t>Withhold</w:t>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b/>
                <w:sz w:val="16"/>
              </w:rPr>
            </w:pPr>
            <w:r>
              <w:rPr>
                <w:b/>
                <w:sz w:val="16"/>
              </w:rPr>
              <w:t>For</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b/>
                <w:sz w:val="16"/>
              </w:rPr>
            </w:pPr>
            <w:r>
              <w:rPr>
                <w:b/>
                <w:sz w:val="16"/>
              </w:rPr>
              <w:t>Withhold</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sz w:val="16"/>
              </w:rPr>
            </w:pPr>
            <w:r>
              <w:rPr>
                <w:b/>
                <w:sz w:val="16"/>
              </w:rPr>
              <w:t>Withhold</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ARIAL" w:hAnsi="ARIAL"/>
                <w:sz w:val="16"/>
              </w:rPr>
            </w:pPr>
            <w:r>
              <w:rPr>
                <w:rFonts w:ascii="ARIAL" w:hAnsi="ARIAL"/>
                <w:sz w:val="16"/>
              </w:rPr>
              <w:t>01 - Robert V. Vitale</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885" w:type="dxa"/>
            <w:gridSpan w:val="5"/>
            <w:tcBorders/>
            <w:vAlign w:val="center"/>
          </w:tcPr>
          <w:p>
            <w:pPr>
              <w:pStyle w:val="TableContents"/>
              <w:bidi w:val="0"/>
              <w:spacing w:before="0" w:after="283"/>
              <w:jc w:val="left"/>
              <w:rPr/>
            </w:pPr>
            <w:r>
              <w:rPr/>
              <w:t> </w:t>
            </w:r>
            <w:r>
              <w:rPr/>
              <w:t>02 - Darcy Horn Davenport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03 - David I. Finkelstein</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ARIAL" w:hAnsi="ARIAL"/>
                <w:sz w:val="16"/>
              </w:rPr>
            </w:pPr>
            <w:r>
              <w:rPr>
                <w:rFonts w:ascii="ARIAL" w:hAnsi="ARIAL"/>
                <w:sz w:val="16"/>
              </w:rPr>
              <w:t>04 - Chonda J. Nwamu</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885" w:type="dxa"/>
            <w:gridSpan w:val="5"/>
            <w:tcBorders/>
            <w:vAlign w:val="center"/>
          </w:tcPr>
          <w:p>
            <w:pPr>
              <w:pStyle w:val="TableContents"/>
              <w:bidi w:val="0"/>
              <w:spacing w:before="0" w:after="283"/>
              <w:jc w:val="left"/>
              <w:rPr/>
            </w:pPr>
            <w:r>
              <w:rPr/>
              <w:t> </w:t>
            </w:r>
            <w:r>
              <w:rPr/>
              <w:t>05 - Elliot H. Stein, Jr.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595" w:type="dxa"/>
            <w:gridSpan w:val="2"/>
            <w:tcBorders/>
            <w:vAlign w:val="center"/>
          </w:tcPr>
          <w:p>
            <w:pPr>
              <w:pStyle w:val="TableContents"/>
              <w:bidi w:val="0"/>
              <w:spacing w:before="0" w:after="283"/>
              <w:jc w:val="left"/>
              <w:rPr>
                <w:sz w:val="4"/>
                <w:szCs w:val="4"/>
              </w:rPr>
            </w:pPr>
            <w:r>
              <w:rPr>
                <w:sz w:val="4"/>
                <w:szCs w:val="4"/>
              </w:rPr>
            </w:r>
          </w:p>
        </w:tc>
        <w:tc>
          <w:tcPr>
            <w:tcW w:w="1164"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  </w:t>
            </w:r>
            <w:r>
              <w:rPr>
                <w:b/>
              </w:rPr>
              <w:t>For</w:t>
            </w:r>
          </w:p>
        </w:tc>
        <w:tc>
          <w:tcPr>
            <w:tcW w:w="81"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center"/>
              <w:rPr>
                <w:b/>
              </w:rPr>
            </w:pPr>
            <w:r>
              <w:rPr>
                <w:b/>
              </w:rPr>
              <w:t>Against</w:t>
            </w:r>
          </w:p>
        </w:tc>
        <w:tc>
          <w:tcPr>
            <w:tcW w:w="81"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2820" w:type="dxa"/>
            <w:gridSpan w:val="5"/>
            <w:tcBorders/>
            <w:vAlign w:val="center"/>
          </w:tcPr>
          <w:p>
            <w:pPr>
              <w:pStyle w:val="TableContents"/>
              <w:bidi w:val="0"/>
              <w:spacing w:before="0" w:after="0"/>
              <w:jc w:val="left"/>
              <w:rPr>
                <w:rFonts w:ascii="ARIAL" w:hAnsi="ARIAL"/>
                <w:sz w:val="16"/>
              </w:rPr>
            </w:pPr>
            <w:r>
              <w:rPr>
                <w:rFonts w:ascii="ARIAL" w:hAnsi="ARIAL"/>
                <w:sz w:val="16"/>
              </w:rPr>
              <w:t>2. The ratification of the appointment of PricewaterhouseCoopers LLP as our independent registered public accounting firm for the fiscal year ending September 30, 2026.</w:t>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center"/>
              <w:rPr/>
            </w:pPr>
            <w:r>
              <w:rPr/>
              <w:t>☐</w:t>
            </w:r>
          </w:p>
        </w:tc>
        <w:tc>
          <w:tcPr>
            <w:tcW w:w="81"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620" w:type="dxa"/>
            <w:gridSpan w:val="7"/>
            <w:tcBorders/>
            <w:vAlign w:val="center"/>
          </w:tcPr>
          <w:p>
            <w:pPr>
              <w:pStyle w:val="TableContents"/>
              <w:bidi w:val="0"/>
              <w:spacing w:before="0" w:after="0"/>
              <w:jc w:val="left"/>
              <w:rPr>
                <w:rFonts w:ascii="ARIAL" w:hAnsi="ARIAL"/>
                <w:sz w:val="16"/>
              </w:rPr>
            </w:pPr>
            <w:r>
              <w:rPr>
                <w:rFonts w:ascii="ARIAL" w:hAnsi="ARIAL"/>
                <w:sz w:val="16"/>
              </w:rPr>
              <w:t>3. To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
        <w:gridCol w:w="60"/>
        <w:gridCol w:w="9802"/>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2" w:type="dxa"/>
            <w:tcBorders/>
            <w:vAlign w:val="center"/>
          </w:tcPr>
          <w:p>
            <w:pPr>
              <w:pStyle w:val="TableContents"/>
              <w:bidi w:val="0"/>
              <w:spacing w:before="0" w:after="283"/>
              <w:jc w:val="left"/>
              <w:rPr>
                <w:sz w:val="4"/>
                <w:szCs w:val="4"/>
              </w:rPr>
            </w:pPr>
            <w:r>
              <w:rPr>
                <w:sz w:val="4"/>
                <w:szCs w:val="4"/>
              </w:rPr>
            </w:r>
          </w:p>
        </w:tc>
      </w:tr>
      <w:tr>
        <w:trPr/>
        <w:tc>
          <w:tcPr>
            <w:tcW w:w="343" w:type="dxa"/>
            <w:tcBorders/>
            <w:shd w:fill="000000" w:val="clear"/>
            <w:vAlign w:val="center"/>
          </w:tcPr>
          <w:p>
            <w:pPr>
              <w:pStyle w:val="TableContents"/>
              <w:bidi w:val="0"/>
              <w:spacing w:before="0" w:after="283"/>
              <w:jc w:val="left"/>
              <w:rPr>
                <w:sz w:val="4"/>
                <w:szCs w:val="4"/>
              </w:rPr>
            </w:pPr>
            <w:r>
              <w:rPr>
                <w:sz w:val="4"/>
                <w:szCs w:val="4"/>
              </w:rPr>
            </w:r>
          </w:p>
        </w:tc>
        <w:tc>
          <w:tcPr>
            <w:tcW w:w="9862" w:type="dxa"/>
            <w:gridSpan w:val="2"/>
            <w:tcBorders/>
            <w:shd w:fill="D9D9D9" w:val="clear"/>
            <w:vAlign w:val="center"/>
          </w:tcPr>
          <w:p>
            <w:pPr>
              <w:pStyle w:val="TableContents"/>
              <w:bidi w:val="0"/>
              <w:spacing w:before="0" w:after="283"/>
              <w:jc w:val="left"/>
              <w:rPr>
                <w:sz w:val="4"/>
                <w:szCs w:val="4"/>
              </w:rPr>
            </w:pPr>
            <w:r>
              <w:rPr>
                <w:sz w:val="4"/>
                <w:szCs w:val="4"/>
              </w:rPr>
            </w:r>
          </w:p>
        </w:tc>
      </w:tr>
      <w:tr>
        <w:trPr/>
        <w:tc>
          <w:tcPr>
            <w:tcW w:w="343" w:type="dxa"/>
            <w:tcBorders/>
            <w:shd w:fill="000000" w:val="clear"/>
            <w:vAlign w:val="center"/>
          </w:tcPr>
          <w:p>
            <w:pPr>
              <w:pStyle w:val="TableContents"/>
              <w:bidi w:val="0"/>
              <w:spacing w:before="0" w:after="0"/>
              <w:jc w:val="both"/>
              <w:rPr>
                <w:color w:val="FFFFFF"/>
              </w:rPr>
            </w:pPr>
            <w:r>
              <w:rPr>
                <w:color w:val="FFFFFF"/>
              </w:rPr>
              <w:t> </w:t>
            </w:r>
            <w:r>
              <w:rPr>
                <w:rFonts w:ascii="ARIAL" w:hAnsi="ARIAL"/>
                <w:b/>
                <w:color w:val="FFFFFF"/>
                <w:sz w:val="20"/>
              </w:rPr>
              <w:t>B </w:t>
            </w:r>
          </w:p>
        </w:tc>
        <w:tc>
          <w:tcPr>
            <w:tcW w:w="60" w:type="dxa"/>
            <w:tcBorders/>
            <w:shd w:fill="D9D9D9" w:val="clear"/>
            <w:vAlign w:val="center"/>
          </w:tcPr>
          <w:p>
            <w:pPr>
              <w:pStyle w:val="TableContents"/>
              <w:bidi w:val="0"/>
              <w:spacing w:before="0" w:after="283"/>
              <w:jc w:val="left"/>
              <w:rPr/>
            </w:pPr>
            <w:r>
              <w:rPr/>
              <w:t> </w:t>
            </w:r>
          </w:p>
        </w:tc>
        <w:tc>
          <w:tcPr>
            <w:tcW w:w="9802" w:type="dxa"/>
            <w:tcBorders/>
            <w:shd w:fill="D9D9D9" w:val="clear"/>
            <w:vAlign w:val="center"/>
          </w:tcPr>
          <w:p>
            <w:pPr>
              <w:pStyle w:val="TableContents"/>
              <w:bidi w:val="0"/>
              <w:spacing w:before="0" w:after="0"/>
              <w:jc w:val="both"/>
              <w:rPr>
                <w:rFonts w:ascii="ARIAL" w:hAnsi="ARIAL"/>
                <w:b/>
                <w:sz w:val="20"/>
              </w:rPr>
            </w:pPr>
            <w:r>
              <w:rPr>
                <w:rFonts w:ascii="ARIAL" w:hAnsi="ARIAL"/>
                <w:b/>
                <w:sz w:val="20"/>
              </w:rPr>
              <w:t>Authorized Signatures – This section must be completed for your vote to count. Please date and sign below.</w:t>
            </w:r>
          </w:p>
        </w:tc>
      </w:tr>
    </w:tbl>
    <w:p>
      <w:pPr>
        <w:pStyle w:val="TextBody"/>
        <w:bidi w:val="0"/>
        <w:spacing w:before="40" w:after="0"/>
        <w:jc w:val="both"/>
        <w:rPr>
          <w:rFonts w:ascii="ARIAL" w:hAnsi="ARIAL"/>
          <w:sz w:val="16"/>
        </w:rPr>
      </w:pPr>
      <w:r>
        <w:rPr>
          <w:rFonts w:ascii="ARIAL" w:hAnsi="ARIAL"/>
          <w:sz w:val="16"/>
        </w:rPr>
        <w:t xml:space="preserve">Please sign exactly as name(s) appears hereon. Joint owners should each sign. When signing as attorney, executor, administrator, corporate officer, trustee, guardian, or custodian, please give full title. </w:t>
      </w:r>
    </w:p>
    <w:p>
      <w:pPr>
        <w:pStyle w:val="TextBody"/>
        <w:bidi w:val="0"/>
        <w:spacing w:before="0" w:after="0"/>
        <w:jc w:val="left"/>
        <w:rPr/>
      </w:pPr>
      <w:r>
        <w:rPr/>
        <w:t> </w:t>
      </w:r>
    </w:p>
    <w:tbl>
      <w:tblPr>
        <w:tblW w:w="10548" w:type="dxa"/>
        <w:jc w:val="left"/>
        <w:tblInd w:w="0" w:type="dxa"/>
        <w:tblLayout w:type="fixed"/>
        <w:tblCellMar>
          <w:top w:w="0" w:type="dxa"/>
          <w:left w:w="0" w:type="dxa"/>
          <w:bottom w:w="0" w:type="dxa"/>
          <w:right w:w="0" w:type="dxa"/>
        </w:tblCellMar>
      </w:tblPr>
      <w:tblGrid>
        <w:gridCol w:w="38"/>
        <w:gridCol w:w="60"/>
        <w:gridCol w:w="2345"/>
        <w:gridCol w:w="60"/>
        <w:gridCol w:w="140"/>
        <w:gridCol w:w="120"/>
        <w:gridCol w:w="3725"/>
        <w:gridCol w:w="60"/>
        <w:gridCol w:w="140"/>
        <w:gridCol w:w="12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ARIAL" w:hAnsi="ARIAL"/>
                <w:sz w:val="16"/>
              </w:rPr>
            </w:pPr>
            <w:r>
              <w:rPr>
                <w:rFonts w:ascii="ARIAL" w:hAnsi="ARIAL"/>
                <w:sz w:val="16"/>
              </w:rPr>
              <w:t>Date (mm/dd/yyyy) – Please print date below.</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sz w:val="16"/>
              </w:rPr>
            </w:pPr>
            <w:r>
              <w:rPr>
                <w:rFonts w:ascii="ARIAL" w:hAnsi="ARIAL"/>
                <w:sz w:val="16"/>
              </w:rPr>
              <w:t>Signature 1 – Please keep signature within the box.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rFonts w:ascii="ARIAL" w:hAnsi="ARIAL"/>
                <w:sz w:val="16"/>
              </w:rPr>
            </w:pPr>
            <w:r>
              <w:rPr>
                <w:rFonts w:ascii="ARIAL" w:hAnsi="ARIAL"/>
                <w:sz w:val="16"/>
              </w:rPr>
              <w:t>Signature 2 – Please keep signature within the box.</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34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both"/>
              <w:rPr/>
            </w:pPr>
            <w:r>
              <w:rPr/>
              <w:t> </w:t>
            </w:r>
          </w:p>
          <w:p>
            <w:pPr>
              <w:pStyle w:val="TableContents"/>
              <w:bidi w:val="0"/>
              <w:spacing w:before="0" w:after="0"/>
              <w:jc w:val="both"/>
              <w:rPr/>
            </w:pPr>
            <w:r>
              <w:rPr/>
              <w:t xml:space="preserve">  </w:t>
            </w:r>
            <w:r>
              <w:rPr>
                <w:rFonts w:ascii="ARIAL" w:hAnsi="ARIAL"/>
                <w:sz w:val="60"/>
              </w:rPr>
              <w:t>/  /</w:t>
            </w:r>
          </w:p>
          <w:p>
            <w:pPr>
              <w:pStyle w:val="TableContents"/>
              <w:bidi w:val="0"/>
              <w:spacing w:before="0" w:after="20"/>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72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740" w:type="dxa"/>
            <w:tcBorders>
              <w:top w:val="single" w:sz="12" w:space="0" w:color="000000"/>
              <w:bottom w:val="single" w:sz="12" w:space="0" w:color="000000"/>
              <w:right w:val="single" w:sz="12"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465" w:type="dxa"/>
        <w:jc w:val="left"/>
        <w:tblInd w:w="0" w:type="dxa"/>
        <w:tblLayout w:type="fixed"/>
        <w:tblCellMar>
          <w:top w:w="0" w:type="dxa"/>
          <w:left w:w="0" w:type="dxa"/>
          <w:bottom w:w="0" w:type="dxa"/>
          <w:right w:w="0" w:type="dxa"/>
        </w:tblCellMar>
      </w:tblPr>
      <w:tblGrid>
        <w:gridCol w:w="510"/>
        <w:gridCol w:w="60"/>
        <w:gridCol w:w="1280"/>
        <w:gridCol w:w="120"/>
        <w:gridCol w:w="495"/>
      </w:tblGrid>
      <w:tr>
        <w:trPr/>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0"/>
              <w:jc w:val="both"/>
              <w:rPr/>
            </w:pPr>
            <w:r>
              <w:rPr/>
              <w:drawing>
                <wp:inline distT="0" distB="0" distL="0" distR="0">
                  <wp:extent cx="276225" cy="2667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6"/>
                          <a:stretch>
                            <a:fillRect/>
                          </a:stretch>
                        </pic:blipFill>
                        <pic:spPr bwMode="auto">
                          <a:xfrm>
                            <a:off x="0" y="0"/>
                            <a:ext cx="276225" cy="2667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both"/>
              <w:rPr/>
            </w:pPr>
            <w:r>
              <w:rPr/>
              <w:t>  </w:t>
            </w:r>
            <w:r>
              <w:rPr>
                <w:rFonts w:ascii="ARIAL" w:hAnsi="ARIAL"/>
                <w:sz w:val="24"/>
              </w:rPr>
              <w:t>5 2 B V</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drawing>
                <wp:inline distT="0" distB="0" distL="0" distR="0">
                  <wp:extent cx="266700" cy="2667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7"/>
                          <a:stretch>
                            <a:fillRect/>
                          </a:stretch>
                        </pic:blipFill>
                        <pic:spPr bwMode="auto">
                          <a:xfrm>
                            <a:off x="0" y="0"/>
                            <a:ext cx="266700" cy="266700"/>
                          </a:xfrm>
                          <a:prstGeom prst="rect">
                            <a:avLst/>
                          </a:prstGeom>
                        </pic:spPr>
                      </pic:pic>
                    </a:graphicData>
                  </a:graphic>
                </wp:inline>
              </w:drawing>
            </w:r>
            <w:r>
              <w:rPr/>
              <w:t xml:space="preserve"> </w:t>
            </w:r>
          </w:p>
        </w:tc>
      </w:tr>
    </w:tbl>
    <w:p>
      <w:pPr>
        <w:pStyle w:val="TextBody"/>
        <w:bidi w:val="0"/>
        <w:spacing w:before="120" w:after="0"/>
        <w:jc w:val="both"/>
        <w:rPr>
          <w:rFonts w:ascii="ARIAL" w:hAnsi="ARIAL"/>
          <w:sz w:val="12"/>
        </w:rPr>
      </w:pPr>
      <w:r>
        <w:rPr>
          <w:rFonts w:ascii="ARIAL" w:hAnsi="ARIAL"/>
          <w:sz w:val="12"/>
        </w:rPr>
        <w:t xml:space="preserve">047N3A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b/>
          <w:sz w:val="24"/>
        </w:rPr>
      </w:pPr>
      <w:r>
        <w:rPr>
          <w:rFonts w:ascii="ARIAL" w:hAnsi="ARIAL"/>
          <w:b/>
          <w:sz w:val="24"/>
        </w:rPr>
        <w:t xml:space="preserve">2026 Annual Meeting of BellRing Brands, Inc. </w:t>
      </w:r>
    </w:p>
    <w:p>
      <w:pPr>
        <w:pStyle w:val="TextBody"/>
        <w:bidi w:val="0"/>
        <w:spacing w:before="120" w:after="0"/>
        <w:jc w:val="center"/>
        <w:rPr>
          <w:rFonts w:ascii="ARIAL" w:hAnsi="ARIAL"/>
          <w:b/>
          <w:sz w:val="20"/>
        </w:rPr>
      </w:pPr>
      <w:r>
        <w:rPr>
          <w:rFonts w:ascii="ARIAL" w:hAnsi="ARIAL"/>
          <w:b/>
          <w:sz w:val="20"/>
        </w:rPr>
        <w:t xml:space="preserve">The 2026 Annual Meeting of BellRing Brands, Inc., will be held on </w:t>
      </w:r>
    </w:p>
    <w:p>
      <w:pPr>
        <w:pStyle w:val="TextBody"/>
        <w:bidi w:val="0"/>
        <w:spacing w:before="0" w:after="0"/>
        <w:jc w:val="center"/>
        <w:rPr>
          <w:rFonts w:ascii="ARIAL" w:hAnsi="ARIAL"/>
          <w:b/>
          <w:sz w:val="20"/>
        </w:rPr>
      </w:pPr>
      <w:r>
        <w:rPr>
          <w:rFonts w:ascii="ARIAL" w:hAnsi="ARIAL"/>
          <w:b/>
          <w:sz w:val="20"/>
        </w:rPr>
        <w:t xml:space="preserve">Wednesday, January 28, 2026, at 9:00 am CT, virtually via the internet at </w:t>
      </w:r>
    </w:p>
    <w:p>
      <w:pPr>
        <w:pStyle w:val="TextBody"/>
        <w:bidi w:val="0"/>
        <w:spacing w:before="0" w:after="0"/>
        <w:jc w:val="center"/>
        <w:rPr>
          <w:rFonts w:ascii="ARIAL" w:hAnsi="ARIAL"/>
          <w:b/>
          <w:sz w:val="20"/>
        </w:rPr>
      </w:pPr>
      <w:r>
        <w:rPr>
          <w:rFonts w:ascii="ARIAL" w:hAnsi="ARIAL"/>
          <w:b/>
          <w:sz w:val="20"/>
        </w:rPr>
        <w:t xml:space="preserve">meetnow.global/MADH4W4. </w:t>
      </w:r>
    </w:p>
    <w:p>
      <w:pPr>
        <w:pStyle w:val="TextBody"/>
        <w:bidi w:val="0"/>
        <w:spacing w:before="120" w:after="0"/>
        <w:jc w:val="center"/>
        <w:rPr>
          <w:rFonts w:ascii="ARIAL" w:hAnsi="ARIAL"/>
          <w:b/>
          <w:sz w:val="20"/>
        </w:rPr>
      </w:pPr>
      <w:r>
        <w:rPr>
          <w:rFonts w:ascii="ARIAL" w:hAnsi="ARIAL"/>
          <w:b/>
          <w:sz w:val="20"/>
        </w:rPr>
        <w:t xml:space="preserve">To access the virtual meeting, you must have the information that is printed in the shaded bar </w:t>
      </w:r>
    </w:p>
    <w:p>
      <w:pPr>
        <w:pStyle w:val="TextBody"/>
        <w:bidi w:val="0"/>
        <w:spacing w:before="0" w:after="0"/>
        <w:jc w:val="center"/>
        <w:rPr>
          <w:rFonts w:ascii="ARIAL" w:hAnsi="ARIAL"/>
          <w:b/>
          <w:sz w:val="20"/>
        </w:rPr>
      </w:pPr>
      <w:r>
        <w:rPr>
          <w:rFonts w:ascii="ARIAL" w:hAnsi="ARIAL"/>
          <w:b/>
          <w:sz w:val="20"/>
        </w:rPr>
        <w:t xml:space="preserve">located on the reverse side of this form. </w:t>
      </w:r>
    </w:p>
    <w:p>
      <w:pPr>
        <w:pStyle w:val="TextBody"/>
        <w:bidi w:val="0"/>
        <w:spacing w:before="120" w:after="0"/>
        <w:jc w:val="center"/>
        <w:rPr>
          <w:rFonts w:ascii="ARIAL" w:hAnsi="ARIAL"/>
          <w:b/>
          <w:sz w:val="20"/>
        </w:rPr>
      </w:pPr>
      <w:r>
        <w:rPr>
          <w:rFonts w:ascii="ARIAL" w:hAnsi="ARIAL"/>
          <w:b/>
          <w:sz w:val="20"/>
        </w:rPr>
        <w:t xml:space="preserve">Important notice regarding the Internet availability of proxy materials for the Annual Meeting of Stockholders. </w:t>
      </w:r>
    </w:p>
    <w:p>
      <w:pPr>
        <w:pStyle w:val="TextBody"/>
        <w:bidi w:val="0"/>
        <w:spacing w:before="0" w:after="0"/>
        <w:jc w:val="center"/>
        <w:rPr>
          <w:rFonts w:ascii="ARIAL" w:hAnsi="ARIAL"/>
          <w:b/>
          <w:sz w:val="20"/>
        </w:rPr>
      </w:pPr>
      <w:r>
        <w:rPr>
          <w:rFonts w:ascii="ARIAL" w:hAnsi="ARIAL"/>
          <w:b/>
          <w:sz w:val="20"/>
        </w:rPr>
        <w:t xml:space="preserve">The material is available at: www.envisionreports.com/BRBR </w:t>
      </w:r>
    </w:p>
    <w:p>
      <w:pPr>
        <w:pStyle w:val="TextBody"/>
        <w:bidi w:val="0"/>
        <w:spacing w:before="0" w:after="0"/>
        <w:jc w:val="left"/>
        <w:rPr/>
      </w:pPr>
      <w:r>
        <w:rPr/>
        <w:t> </w:t>
      </w:r>
    </w:p>
    <w:tbl>
      <w:tblPr>
        <w:tblW w:w="6973" w:type="dxa"/>
        <w:jc w:val="left"/>
        <w:tblInd w:w="0" w:type="dxa"/>
        <w:tblLayout w:type="fixed"/>
        <w:tblCellMar>
          <w:top w:w="0" w:type="dxa"/>
          <w:left w:w="0" w:type="dxa"/>
          <w:bottom w:w="0" w:type="dxa"/>
          <w:right w:w="0" w:type="dxa"/>
        </w:tblCellMar>
      </w:tblPr>
      <w:tblGrid>
        <w:gridCol w:w="38"/>
        <w:gridCol w:w="60"/>
        <w:gridCol w:w="900"/>
        <w:gridCol w:w="60"/>
        <w:gridCol w:w="4955"/>
        <w:gridCol w:w="60"/>
        <w:gridCol w:w="90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9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00" w:type="dxa"/>
            <w:tcBorders>
              <w:bottom w:val="single" w:sz="6" w:space="0" w:color="000000"/>
            </w:tcBorders>
            <w:tcMar>
              <w:bottom w:w="28" w:type="dxa"/>
            </w:tcMar>
            <w:vAlign w:val="center"/>
          </w:tcPr>
          <w:p>
            <w:pPr>
              <w:pStyle w:val="TableContents"/>
              <w:bidi w:val="0"/>
              <w:spacing w:before="0" w:after="0"/>
              <w:jc w:val="both"/>
              <w:rPr/>
            </w:pPr>
            <w:r>
              <w:rPr/>
              <w:drawing>
                <wp:inline distT="0" distB="0" distL="0" distR="0">
                  <wp:extent cx="533400" cy="5334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8"/>
                          <a:stretch>
                            <a:fillRect/>
                          </a:stretch>
                        </pic:blipFill>
                        <pic:spPr bwMode="auto">
                          <a:xfrm>
                            <a:off x="0" y="0"/>
                            <a:ext cx="533400" cy="5334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95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Small steps make an impact.</w:t>
            </w:r>
          </w:p>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Help the environment by consenting to receive electronic</w:t>
            </w:r>
          </w:p>
          <w:p>
            <w:pPr>
              <w:pStyle w:val="TableContents"/>
              <w:bidi w:val="0"/>
              <w:spacing w:before="0" w:after="0"/>
              <w:jc w:val="center"/>
              <w:rPr>
                <w:rFonts w:ascii="ARIAL" w:hAnsi="ARIAL"/>
                <w:sz w:val="20"/>
              </w:rPr>
            </w:pPr>
            <w:r>
              <w:rPr>
                <w:rFonts w:ascii="ARIAL" w:hAnsi="ARIAL"/>
                <w:sz w:val="20"/>
              </w:rPr>
              <w:t>delivery, sign up at www.envisionreports.com/BRBR</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drawing>
                <wp:inline distT="0" distB="0" distL="0" distR="0">
                  <wp:extent cx="523875" cy="52387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9"/>
                          <a:stretch>
                            <a:fillRect/>
                          </a:stretch>
                        </pic:blipFill>
                        <pic:spPr bwMode="auto">
                          <a:xfrm>
                            <a:off x="0" y="0"/>
                            <a:ext cx="523875" cy="523875"/>
                          </a:xfrm>
                          <a:prstGeom prst="rect">
                            <a:avLst/>
                          </a:prstGeom>
                        </pic:spPr>
                      </pic:pic>
                    </a:graphicData>
                  </a:graphic>
                </wp:inline>
              </w:drawing>
            </w:r>
            <w:r>
              <w:rPr/>
              <w:t xml:space="preserve"> </w:t>
            </w:r>
          </w:p>
        </w:tc>
      </w:tr>
    </w:tbl>
    <w:p>
      <w:pPr>
        <w:pStyle w:val="TextBody"/>
        <w:bidi w:val="0"/>
        <w:spacing w:before="200" w:after="0"/>
        <w:jc w:val="center"/>
        <w:rPr/>
      </w:pPr>
      <w:r>
        <w:rPr/>
        <w:drawing>
          <wp:inline distT="0" distB="0" distL="0" distR="0">
            <wp:extent cx="171450" cy="15240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30"/>
                    <a:stretch>
                      <a:fillRect/>
                    </a:stretch>
                  </pic:blipFill>
                  <pic:spPr bwMode="auto">
                    <a:xfrm>
                      <a:off x="0" y="0"/>
                      <a:ext cx="171450" cy="152400"/>
                    </a:xfrm>
                    <a:prstGeom prst="rect">
                      <a:avLst/>
                    </a:prstGeom>
                  </pic:spPr>
                </pic:pic>
              </a:graphicData>
            </a:graphic>
          </wp:inline>
        </w:drawing>
      </w:r>
      <w:r>
        <w:rPr/>
        <w:t xml:space="preserve"> </w:t>
      </w:r>
      <w:r>
        <w:rPr>
          <w:rFonts w:ascii="ARIAL" w:hAnsi="ARIAL"/>
          <w:b/>
          <w:sz w:val="16"/>
        </w:rPr>
        <w:t xml:space="preserve">IF VOTING BY MAIL, SIGN, DETACH AND RETURN THE BOTTOM PORTION IN THE ENCLOSED ENVELOPE. </w:t>
      </w:r>
      <w:r>
        <w:rPr>
          <w:rFonts w:ascii="ARIAL" w:hAnsi="ARIAL"/>
          <w:b/>
          <w:sz w:val="16"/>
        </w:rPr>
        <w:drawing>
          <wp:inline distT="0" distB="0" distL="0" distR="0">
            <wp:extent cx="171450" cy="15240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31"/>
                    <a:stretch>
                      <a:fillRect/>
                    </a:stretch>
                  </pic:blipFill>
                  <pic:spPr bwMode="auto">
                    <a:xfrm>
                      <a:off x="0" y="0"/>
                      <a:ext cx="171450" cy="152400"/>
                    </a:xfrm>
                    <a:prstGeom prst="rect">
                      <a:avLst/>
                    </a:prstGeom>
                  </pic:spPr>
                </pic:pic>
              </a:graphicData>
            </a:graphic>
          </wp:inline>
        </w:drawing>
      </w:r>
      <w:r>
        <w:rPr>
          <w:rFonts w:ascii="ARIAL" w:hAnsi="ARIAL"/>
          <w:b/>
          <w:sz w:val="16"/>
        </w:rPr>
        <w:t xml:space="preserve"> </w:t>
      </w:r>
    </w:p>
    <w:p>
      <w:pPr>
        <w:pStyle w:val="TextBody"/>
        <w:bidi w:val="0"/>
        <w:spacing w:before="0" w:after="0"/>
        <w:jc w:val="left"/>
        <w:rPr/>
      </w:pPr>
      <w:r>
        <w:rPr/>
        <w:t> </w:t>
      </w:r>
    </w:p>
    <w:p>
      <w:pPr>
        <w:pStyle w:val="TextBody"/>
        <w:bidi w:val="0"/>
        <w:spacing w:before="0" w:after="0"/>
        <w:jc w:val="both"/>
        <w:rPr/>
      </w:pPr>
      <w:r>
        <w:rPr/>
        <w:drawing>
          <wp:inline distT="0" distB="0" distL="0" distR="0">
            <wp:extent cx="7867650" cy="466725"/>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32"/>
                    <a:stretch>
                      <a:fillRect/>
                    </a:stretch>
                  </pic:blipFill>
                  <pic:spPr bwMode="auto">
                    <a:xfrm>
                      <a:off x="0" y="0"/>
                      <a:ext cx="7867650" cy="466725"/>
                    </a:xfrm>
                    <a:prstGeom prst="rect">
                      <a:avLst/>
                    </a:prstGeom>
                  </pic:spPr>
                </pic:pic>
              </a:graphicData>
            </a:graphic>
          </wp:inline>
        </w:drawing>
      </w:r>
      <w:r>
        <w:rPr/>
        <w:t xml:space="preserve"> </w:t>
      </w:r>
    </w:p>
    <w:p>
      <w:pPr>
        <w:pStyle w:val="TextBody"/>
        <w:bidi w:val="0"/>
        <w:spacing w:before="120" w:after="0"/>
        <w:jc w:val="both"/>
        <w:rPr>
          <w:rFonts w:ascii="ARIAL" w:hAnsi="ARIAL"/>
          <w:sz w:val="28"/>
        </w:rPr>
      </w:pPr>
      <w:r>
        <w:rPr>
          <w:rFonts w:ascii="ARIAL" w:hAnsi="ARIAL"/>
          <w:b/>
          <w:sz w:val="28"/>
        </w:rPr>
        <w:t>Notice of 2026 Annual Meeting of Stockholders</w:t>
      </w:r>
      <w:r>
        <w:rPr>
          <w:rFonts w:ascii="ARIAL" w:hAnsi="ARIAL"/>
          <w:sz w:val="28"/>
        </w:rPr>
        <w:t xml:space="preserve"> </w:t>
      </w:r>
    </w:p>
    <w:p>
      <w:pPr>
        <w:pStyle w:val="TextBody"/>
        <w:bidi w:val="0"/>
        <w:spacing w:before="160" w:after="0"/>
        <w:jc w:val="both"/>
        <w:rPr>
          <w:rFonts w:ascii="ARIAL" w:hAnsi="ARIAL"/>
          <w:sz w:val="24"/>
        </w:rPr>
      </w:pPr>
      <w:r>
        <w:rPr>
          <w:rFonts w:ascii="ARIAL" w:hAnsi="ARIAL"/>
          <w:b/>
          <w:sz w:val="24"/>
        </w:rPr>
        <w:t>Proxy Solicited by Board of Directors for Annual Meeting – January 28, 2026</w:t>
      </w:r>
      <w:r>
        <w:rPr>
          <w:rFonts w:ascii="ARIAL" w:hAnsi="ARIAL"/>
          <w:sz w:val="24"/>
        </w:rPr>
        <w:t xml:space="preserve"> </w:t>
      </w:r>
    </w:p>
    <w:p>
      <w:pPr>
        <w:pStyle w:val="TextBody"/>
        <w:bidi w:val="0"/>
        <w:spacing w:before="160" w:after="0"/>
        <w:jc w:val="both"/>
        <w:rPr>
          <w:rFonts w:ascii="ARIAL" w:hAnsi="ARIAL"/>
          <w:sz w:val="20"/>
        </w:rPr>
      </w:pPr>
      <w:r>
        <w:rPr>
          <w:rFonts w:ascii="ARIAL" w:hAnsi="ARIAL"/>
          <w:sz w:val="20"/>
        </w:rPr>
        <w:t xml:space="preserve">Paul A. Rode and Craig L. Rosenthal, or either of them, each with the power of substitution, are hereby authorized to represent and vote the shares of the undersigned, with all the powers which the undersigned would possess if personally present, at the Annual Meeting of Stockholders of BellRing Brands, Inc., to be held on January 28, 2026, or at any postponement or adjournment thereof. </w:t>
      </w:r>
    </w:p>
    <w:p>
      <w:pPr>
        <w:pStyle w:val="TextBody"/>
        <w:bidi w:val="0"/>
        <w:spacing w:before="160" w:after="0"/>
        <w:jc w:val="both"/>
        <w:rPr>
          <w:rFonts w:ascii="ARIAL" w:hAnsi="ARIAL"/>
          <w:sz w:val="20"/>
        </w:rPr>
      </w:pPr>
      <w:r>
        <w:rPr>
          <w:rFonts w:ascii="ARIAL" w:hAnsi="ARIAL"/>
          <w:b/>
          <w:sz w:val="20"/>
        </w:rPr>
        <w:t>Shares represented by this proxy will be voted by the stockholder. If no such directions are indicated, the Proxies will have authority to vote FOR the election of the Board of Directors and FOR proposals 2 and 3.</w:t>
      </w:r>
      <w:r>
        <w:rPr>
          <w:rFonts w:ascii="ARIAL" w:hAnsi="ARIAL"/>
          <w:sz w:val="20"/>
        </w:rPr>
        <w:t xml:space="preserve"> </w:t>
      </w:r>
    </w:p>
    <w:p>
      <w:pPr>
        <w:pStyle w:val="TextBody"/>
        <w:bidi w:val="0"/>
        <w:spacing w:before="160" w:after="0"/>
        <w:jc w:val="both"/>
        <w:rPr>
          <w:rFonts w:ascii="ARIAL" w:hAnsi="ARIAL"/>
          <w:b/>
          <w:sz w:val="20"/>
        </w:rPr>
      </w:pPr>
      <w:r>
        <w:rPr>
          <w:rFonts w:ascii="ARIAL" w:hAnsi="ARIAL"/>
          <w:b/>
          <w:sz w:val="20"/>
        </w:rPr>
        <w:t xml:space="preserve">In their discretion, the Proxies are authorized to vote upon such other business as may properly come before the meeting. </w:t>
      </w:r>
    </w:p>
    <w:p>
      <w:pPr>
        <w:pStyle w:val="TextBody"/>
        <w:bidi w:val="0"/>
        <w:spacing w:before="160" w:after="0"/>
        <w:jc w:val="center"/>
        <w:rPr>
          <w:rFonts w:ascii="ARIAL" w:hAnsi="ARIAL"/>
          <w:sz w:val="20"/>
        </w:rPr>
      </w:pPr>
      <w:r>
        <w:rPr>
          <w:rFonts w:ascii="ARIAL" w:hAnsi="ARIAL"/>
          <w:sz w:val="20"/>
        </w:rPr>
        <w:t xml:space="preserve">(Items to be voted appear on reverse side)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350"/>
        <w:gridCol w:w="60"/>
        <w:gridCol w:w="1655"/>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350" w:type="dxa"/>
            <w:tcBorders/>
            <w:shd w:fill="000000" w:val="clear"/>
            <w:vAlign w:val="center"/>
          </w:tcPr>
          <w:p>
            <w:pPr>
              <w:pStyle w:val="TableContents"/>
              <w:bidi w:val="0"/>
              <w:spacing w:before="0" w:after="283"/>
              <w:jc w:val="left"/>
              <w:rPr>
                <w:sz w:val="4"/>
                <w:szCs w:val="4"/>
              </w:rPr>
            </w:pPr>
            <w:r>
              <w:rPr>
                <w:sz w:val="4"/>
                <w:szCs w:val="4"/>
              </w:rPr>
            </w:r>
          </w:p>
        </w:tc>
        <w:tc>
          <w:tcPr>
            <w:tcW w:w="1715" w:type="dxa"/>
            <w:gridSpan w:val="2"/>
            <w:tcBorders/>
            <w:shd w:fill="D9D9D9" w:val="clear"/>
            <w:vAlign w:val="center"/>
          </w:tcPr>
          <w:p>
            <w:pPr>
              <w:pStyle w:val="TableContents"/>
              <w:bidi w:val="0"/>
              <w:spacing w:before="0" w:after="283"/>
              <w:jc w:val="left"/>
              <w:rPr>
                <w:sz w:val="4"/>
                <w:szCs w:val="4"/>
              </w:rPr>
            </w:pPr>
            <w:r>
              <w:rPr>
                <w:sz w:val="4"/>
                <w:szCs w:val="4"/>
              </w:rPr>
            </w:r>
          </w:p>
        </w:tc>
      </w:tr>
      <w:tr>
        <w:trPr/>
        <w:tc>
          <w:tcPr>
            <w:tcW w:w="350" w:type="dxa"/>
            <w:tcBorders/>
            <w:shd w:fill="000000" w:val="clear"/>
            <w:vAlign w:val="center"/>
          </w:tcPr>
          <w:p>
            <w:pPr>
              <w:pStyle w:val="TableContents"/>
              <w:bidi w:val="0"/>
              <w:spacing w:before="0" w:after="0"/>
              <w:jc w:val="both"/>
              <w:rPr>
                <w:color w:val="FFFFFF"/>
              </w:rPr>
            </w:pPr>
            <w:r>
              <w:rPr>
                <w:color w:val="FFFFFF"/>
              </w:rPr>
              <w:t> </w:t>
            </w:r>
            <w:r>
              <w:rPr>
                <w:rFonts w:ascii="ARIAL" w:hAnsi="ARIAL"/>
                <w:b/>
                <w:color w:val="FFFFFF"/>
                <w:sz w:val="20"/>
              </w:rPr>
              <w:t>C </w:t>
            </w:r>
          </w:p>
        </w:tc>
        <w:tc>
          <w:tcPr>
            <w:tcW w:w="60" w:type="dxa"/>
            <w:tcBorders/>
            <w:shd w:fill="D9D9D9" w:val="clear"/>
            <w:vAlign w:val="center"/>
          </w:tcPr>
          <w:p>
            <w:pPr>
              <w:pStyle w:val="TableContents"/>
              <w:bidi w:val="0"/>
              <w:spacing w:before="0" w:after="283"/>
              <w:jc w:val="left"/>
              <w:rPr/>
            </w:pPr>
            <w:r>
              <w:rPr/>
              <w:t> </w:t>
            </w:r>
          </w:p>
        </w:tc>
        <w:tc>
          <w:tcPr>
            <w:tcW w:w="1655" w:type="dxa"/>
            <w:tcBorders/>
            <w:shd w:fill="D9D9D9" w:val="clear"/>
            <w:vAlign w:val="center"/>
          </w:tcPr>
          <w:p>
            <w:pPr>
              <w:pStyle w:val="TableContents"/>
              <w:bidi w:val="0"/>
              <w:spacing w:before="0" w:after="0"/>
              <w:jc w:val="both"/>
              <w:rPr>
                <w:rFonts w:ascii="ARIAL" w:hAnsi="ARIAL"/>
                <w:b/>
                <w:sz w:val="20"/>
              </w:rPr>
            </w:pPr>
            <w:r>
              <w:rPr>
                <w:rFonts w:ascii="ARIAL" w:hAnsi="ARIAL"/>
                <w:b/>
                <w:sz w:val="20"/>
              </w:rPr>
              <w:t>Non-Voting Items</w:t>
            </w:r>
          </w:p>
        </w:tc>
      </w:tr>
    </w:tbl>
    <w:p>
      <w:pPr>
        <w:pStyle w:val="TextBody"/>
        <w:bidi w:val="0"/>
        <w:spacing w:before="0" w:after="0"/>
        <w:jc w:val="left"/>
        <w:rPr/>
      </w:pPr>
      <w:r>
        <w:rPr/>
        <w:t> </w:t>
      </w:r>
    </w:p>
    <w:tbl>
      <w:tblPr>
        <w:tblW w:w="8228" w:type="dxa"/>
        <w:jc w:val="left"/>
        <w:tblInd w:w="0" w:type="dxa"/>
        <w:tblLayout w:type="fixed"/>
        <w:tblCellMar>
          <w:top w:w="0" w:type="dxa"/>
          <w:left w:w="0" w:type="dxa"/>
          <w:bottom w:w="0" w:type="dxa"/>
          <w:right w:w="0" w:type="dxa"/>
        </w:tblCellMar>
      </w:tblPr>
      <w:tblGrid>
        <w:gridCol w:w="38"/>
        <w:gridCol w:w="60"/>
        <w:gridCol w:w="4130"/>
        <w:gridCol w:w="60"/>
        <w:gridCol w:w="140"/>
        <w:gridCol w:w="12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pPr>
            <w:r>
              <w:rPr/>
              <w:t> </w:t>
            </w:r>
            <w:r>
              <w:rPr>
                <w:rFonts w:ascii="ARIAL" w:hAnsi="ARIAL"/>
                <w:b/>
                <w:sz w:val="16"/>
              </w:rPr>
              <w:t xml:space="preserve">Change of Address – </w:t>
            </w:r>
            <w:r>
              <w:rPr>
                <w:rFonts w:ascii="ARIAL" w:hAnsi="ARIAL"/>
                <w:sz w:val="16"/>
              </w:rPr>
              <w:t>Please print new address below.</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pPr>
            <w:r>
              <w:rPr/>
              <w:t> </w:t>
            </w:r>
            <w:r>
              <w:rPr>
                <w:rFonts w:ascii="ARIAL" w:hAnsi="ARIAL"/>
                <w:b/>
                <w:sz w:val="16"/>
              </w:rPr>
              <w:t>Comments</w:t>
            </w:r>
            <w:r>
              <w:rPr>
                <w:rFonts w:ascii="ARIAL" w:hAnsi="ARIAL"/>
                <w:sz w:val="16"/>
              </w:rPr>
              <w:t xml:space="preserve"> – Please print your comments below.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413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both"/>
              <w:rPr/>
            </w:pPr>
            <w:r>
              <w:rPr/>
              <w:t> </w:t>
            </w:r>
          </w:p>
          <w:p>
            <w:pPr>
              <w:pStyle w:val="TableContents"/>
              <w:bidi w:val="0"/>
              <w:spacing w:before="0" w:after="0"/>
              <w:jc w:val="both"/>
              <w:rPr/>
            </w:pPr>
            <w:r>
              <w:rPr/>
              <w:t> </w:t>
            </w:r>
          </w:p>
          <w:p>
            <w:pPr>
              <w:pStyle w:val="TableContents"/>
              <w:bidi w:val="0"/>
              <w:spacing w:before="0" w:after="20"/>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680" w:type="dxa"/>
            <w:tcBorders>
              <w:top w:val="single" w:sz="12" w:space="0" w:color="000000"/>
              <w:bottom w:val="single" w:sz="12" w:space="0" w:color="000000"/>
              <w:right w:val="single" w:sz="12"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25" w:type="dxa"/>
        <w:jc w:val="left"/>
        <w:tblInd w:w="0" w:type="dxa"/>
        <w:tblLayout w:type="fixed"/>
        <w:tblCellMar>
          <w:top w:w="0" w:type="dxa"/>
          <w:left w:w="0" w:type="dxa"/>
          <w:bottom w:w="0" w:type="dxa"/>
          <w:right w:w="0" w:type="dxa"/>
        </w:tblCellMar>
      </w:tblPr>
      <w:tblGrid>
        <w:gridCol w:w="510"/>
        <w:gridCol w:w="120"/>
        <w:gridCol w:w="495"/>
      </w:tblGrid>
      <w:tr>
        <w:trPr/>
        <w:tc>
          <w:tcPr>
            <w:tcW w:w="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0"/>
              <w:jc w:val="both"/>
              <w:rPr/>
            </w:pPr>
            <w:r>
              <w:rPr/>
              <w:drawing>
                <wp:inline distT="0" distB="0" distL="0" distR="0">
                  <wp:extent cx="276225" cy="26670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33"/>
                          <a:stretch>
                            <a:fillRect/>
                          </a:stretch>
                        </pic:blipFill>
                        <pic:spPr bwMode="auto">
                          <a:xfrm>
                            <a:off x="0" y="0"/>
                            <a:ext cx="276225" cy="2667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drawing>
                <wp:inline distT="0" distB="0" distL="0" distR="0">
                  <wp:extent cx="266700" cy="26670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34"/>
                          <a:stretch>
                            <a:fillRect/>
                          </a:stretch>
                        </pic:blipFill>
                        <pic:spPr bwMode="auto">
                          <a:xfrm>
                            <a:off x="0" y="0"/>
                            <a:ext cx="266700" cy="266700"/>
                          </a:xfrm>
                          <a:prstGeom prst="rect">
                            <a:avLst/>
                          </a:prstGeom>
                        </pic:spPr>
                      </pic:pic>
                    </a:graphicData>
                  </a:graphic>
                </wp:inline>
              </w:drawing>
            </w:r>
            <w:r>
              <w:rPr/>
              <w:t xml:space="preserve">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3.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6.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15.jpeg"/><Relationship Id="rId31" Type="http://schemas.openxmlformats.org/officeDocument/2006/relationships/image" Target="media/image15.jpeg"/><Relationship Id="rId32" Type="http://schemas.openxmlformats.org/officeDocument/2006/relationships/image" Target="media/image20.jpeg"/><Relationship Id="rId33" Type="http://schemas.openxmlformats.org/officeDocument/2006/relationships/image" Target="media/image17.jpeg"/><Relationship Id="rId34" Type="http://schemas.openxmlformats.org/officeDocument/2006/relationships/image" Target="media/image16.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34953</Words>
  <Characters>192270</Characters>
  <CharactersWithSpaces>230199</CharactersWithSpaces>
  <Paragraphs>6550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