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422275</wp:posOffset>
            </wp:positionV>
            <wp:extent cx="131127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020" w:type="dxa"/>
            <w:vAlign w:val="bottom"/>
          </w:tcPr>
          <w:p>
            <w:pPr>
              <w:jc w:val="center"/>
              <w:ind w:right="2301"/>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001-39093</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83-4096323</w:t>
            </w:r>
          </w:p>
        </w:tc>
      </w:tr>
      <w:tr>
        <w:trPr>
          <w:trHeight w:val="149"/>
        </w:trPr>
        <w:tc>
          <w:tcPr>
            <w:tcW w:w="4020" w:type="dxa"/>
            <w:vAlign w:val="bottom"/>
          </w:tcPr>
          <w:p>
            <w:pPr>
              <w:jc w:val="center"/>
              <w:ind w:right="230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20" w:type="dxa"/>
            <w:vAlign w:val="bottom"/>
          </w:tcPr>
          <w:p>
            <w:pPr>
              <w:jc w:val="center"/>
              <w:ind w:right="2281"/>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632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0"/>
              </w:rPr>
              <w:t>2503 S. Hanley Road, St. Louis, Missouri</w:t>
            </w: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63144</w:t>
            </w:r>
          </w:p>
        </w:tc>
      </w:tr>
      <w:tr>
        <w:trPr>
          <w:trHeight w:val="186"/>
        </w:trPr>
        <w:tc>
          <w:tcPr>
            <w:tcW w:w="4020" w:type="dxa"/>
            <w:vAlign w:val="bottom"/>
          </w:tcPr>
          <w:p>
            <w:pPr>
              <w:jc w:val="center"/>
              <w:ind w:left="120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March 8, 2022, BellRing Brands, Inc., a Delaware corporation (“BellRing”), held a special meeting of its stockholders (the “special meeting”) at which its stockholders voted on the proposals set forth below relating to the previously announced distribution by Post Holdings, Inc., a Delaware corporation (“Post”), of a significant portion of its interest in BellRing Brands, Inc. to shareholders of Post pursuant to a transaction agreement and plan of merger, dated as of October 26, 2021 (the “transaction agreement”) by and among BellRing, Post, BellRing Distribution, LLC, a Delaware limited liability company (“New BellRing”), and BellRing Merger Sub Corporation, a Delaware corporation and direct, wholly owned subsidiary of New BellRing. The proposals are described in detail in the definitive proxy statement/prospectus filed by BellRing with the Securities and Exchange Commission (the “SEC”) on February 3, 2022, and first mailed to BellRing’s stockholders on February 3, 2022.</w:t>
      </w:r>
    </w:p>
    <w:p>
      <w:pPr>
        <w:spacing w:after="0" w:line="17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final voting results regarding each proposal are set forth below. There were 38,887,851 shares of Class A Common Stock of BellRing, par value $0.01 per share (“BellRing Class A Common Stock”) and one share of Class B Common Stock of BellRing, par value $0.01 per share (“BellRing Class B Common Stock” and, together with the BellRing Class A Common Stock, “BellRing Common Stock”), outstanding and entitled to vote as of the close of business on February 1, 2022, the record date for the special meeting. 32,793,498 shares of BellRing Class A Common Stock and one share of BellRing Class B Common Stock were represented in person or by proxy at the special meeting, which number constituted a quorum.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Transaction Agreement Proposal.</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proposal to adopt the transaction agreement (the “transaction agreement proposal”) was approved by (i) holders of a majority in voting power of the outstanding shares of BellRing Common Stock and (ii) holders (other than Post, New BellRing or any of their respective affiliates) of a majority in voting power of the outstanding shares of BellRing Common Stock (other than shares held by Post, New BellRing or any of their respective affiliates).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Votes for the transaction agreement proposal were cast by BellRing stockholders (including votes cast by Post, New BellRing and any of their respective affiliates) as set forth in the table below:</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4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7"/>
              </w:rPr>
              <w:t>For</w:t>
            </w:r>
          </w:p>
        </w:tc>
        <w:tc>
          <w:tcPr>
            <w:tcW w:w="2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Against</w:t>
            </w:r>
          </w:p>
        </w:tc>
        <w:tc>
          <w:tcPr>
            <w:tcW w:w="29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Abstentions</w:t>
            </w:r>
          </w:p>
        </w:tc>
        <w:tc>
          <w:tcPr>
            <w:tcW w:w="1960" w:type="dxa"/>
            <w:vAlign w:val="bottom"/>
          </w:tcPr>
          <w:p>
            <w:pPr>
              <w:ind w:left="42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16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111,502,023</w:t>
            </w:r>
          </w:p>
        </w:tc>
        <w:tc>
          <w:tcPr>
            <w:tcW w:w="8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198,617</w:t>
            </w:r>
          </w:p>
        </w:tc>
        <w:tc>
          <w:tcPr>
            <w:tcW w:w="8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46,980</w:t>
            </w:r>
          </w:p>
        </w:tc>
        <w:tc>
          <w:tcPr>
            <w:tcW w:w="8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Votes for the transaction agreement proposal were cast by BellRing stockholders (excluding votes cast by Post, New BellRing and any of their respective affiliates) as set forth in the table below:</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4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7"/>
              </w:rPr>
              <w:t>For</w:t>
            </w:r>
          </w:p>
        </w:tc>
        <w:tc>
          <w:tcPr>
            <w:tcW w:w="2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Against</w:t>
            </w:r>
          </w:p>
        </w:tc>
        <w:tc>
          <w:tcPr>
            <w:tcW w:w="29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Abstentions</w:t>
            </w:r>
          </w:p>
        </w:tc>
        <w:tc>
          <w:tcPr>
            <w:tcW w:w="1960" w:type="dxa"/>
            <w:vAlign w:val="bottom"/>
          </w:tcPr>
          <w:p>
            <w:pPr>
              <w:ind w:left="42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32,547,901</w:t>
            </w:r>
          </w:p>
        </w:tc>
        <w:tc>
          <w:tcPr>
            <w:tcW w:w="8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198,617</w:t>
            </w:r>
          </w:p>
        </w:tc>
        <w:tc>
          <w:tcPr>
            <w:tcW w:w="8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46,980</w:t>
            </w:r>
          </w:p>
        </w:tc>
        <w:tc>
          <w:tcPr>
            <w:tcW w:w="8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Adjournment Proposal.</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special meeting, BellRing also solicited proxies with respect to a proposal to approve the adjournment or postponement of the special meeting, if necessary or appropriate, to solicit additional proxies if there are not sufficient votes at the time of such special meeting to approve the transaction agreement proposal (the “adjournment proposal”). The adjournment proposal was not submitted to BellRing’s stockholders for approval at the special meeting because the transaction agreement proposal had been approved.</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March 8, 2022, BellRing issued a press release announcing the approval of the transaction agreement proposal. A copy of the press release is attached hereto as Exhibit 99.1 and is incorporated by reference herein.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28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70"/>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7360" w:type="dxa"/>
            <w:vAlign w:val="bottom"/>
            <w:gridSpan w:val="2"/>
          </w:tcPr>
          <w:p>
            <w:pPr>
              <w:spacing w:after="0"/>
              <w:rPr>
                <w:sz w:val="23"/>
                <w:szCs w:val="23"/>
                <w:color w:val="auto"/>
              </w:rPr>
            </w:pPr>
          </w:p>
        </w:tc>
      </w:tr>
      <w:tr>
        <w:trPr>
          <w:trHeight w:val="277"/>
        </w:trPr>
        <w:tc>
          <w:tcPr>
            <w:tcW w:w="680" w:type="dxa"/>
            <w:vAlign w:val="bottom"/>
          </w:tcPr>
          <w:p>
            <w:pPr>
              <w:ind w:left="80"/>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March 8, 2022</w:t>
              </w:r>
            </w:hyperlink>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344"/>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between Post and BellRing, including any future financial and operating results and Post’s, BellRing’s and New BellRing’s plans, objectives, expectations and intentions.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Post’s and BellRing’s filings with the SEC. These forward-looking statements represent BellRing’s judgment as of the date of this filing. BellRing disclaims, however, any intent or obligation to update these forward-looking statements. All forward-looking statements in this filing are qualified in their entirety by this cautionary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w:t>
      </w:r>
    </w:p>
    <w:p>
      <w:pPr>
        <w:sectPr>
          <w:pgSz w:w="11900" w:h="16838" w:orient="portrait"/>
          <w:cols w:equalWidth="0" w:num="1">
            <w:col w:w="11000"/>
          </w:cols>
          <w:pgMar w:left="440" w:top="297" w:right="459" w:bottom="604" w:gutter="0" w:footer="0" w:header="0"/>
        </w:sectPr>
      </w:pPr>
    </w:p>
    <w:bookmarkStart w:id="2" w:name="page3"/>
    <w:bookmarkEnd w:id="2"/>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or qualification under the securities laws of any such jurisdiction. No offer of securities shall be made except by means of a prospectus meeting the requirements of Section 10 of the Securities Act. In connection with the proposed transaction, BellRing filed a definitive proxy statement/prospectus with the SEC on February 3, 2022, which was first mailed to BellRing’s stockholders on February 3, 2022. In connection with the proposed transaction, New BellRing filed a registration statement on Form S-4 and a registration statement on Form S-4/S-1 containing prospectuses with respect to the registration of shares of New BellRing common stock to be issued in connection with the proposed transaction. INVESTORS AND SECURITYHOLDERS ARE URGED TO READ THE REGISTRATION STATEMENTS/ PROSPECTUSES, PROXY STATEMENT AND ANY OTHER RELEVANT DOCUMENTS BECAUSE THEY CONTAIN IMPORTANT INFORMATION ABOUT NEW BELLRING, BELLRING AND THE PROPOSED TRANSACTION. Investors and security holders may obtain these materials (when they are available) and other documents filed with the SEC free of charge from the SEC’s website, www.sec.gov, Post’s website, www.postholdings.com, or BellRing’s website, www.bellring.com.</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00"/>
          </w:cols>
          <w:pgMar w:left="440" w:top="301"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40" w:type="dxa"/>
            <w:vAlign w:val="bottom"/>
          </w:tcPr>
          <w:p>
            <w:pPr>
              <w:spacing w:after="0"/>
              <w:rPr>
                <w:sz w:val="20"/>
                <w:szCs w:val="20"/>
                <w:color w:val="auto"/>
              </w:rPr>
            </w:pPr>
            <w:r>
              <w:rPr>
                <w:rFonts w:ascii="Arial" w:cs="Arial" w:eastAsia="Arial" w:hAnsi="Arial"/>
                <w:sz w:val="18"/>
                <w:szCs w:val="18"/>
                <w:color w:val="auto"/>
              </w:rPr>
              <w:t>Date: March 8, 2022</w:t>
            </w:r>
          </w:p>
        </w:tc>
        <w:tc>
          <w:tcPr>
            <w:tcW w:w="4940" w:type="dxa"/>
            <w:vAlign w:val="bottom"/>
            <w:gridSpan w:val="2"/>
          </w:tcPr>
          <w:p>
            <w:pPr>
              <w:ind w:left="96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2440" w:type="dxa"/>
            <w:vAlign w:val="bottom"/>
          </w:tcPr>
          <w:p>
            <w:pPr>
              <w:spacing w:after="0"/>
              <w:rPr>
                <w:sz w:val="20"/>
                <w:szCs w:val="20"/>
                <w:color w:val="auto"/>
              </w:rPr>
            </w:pPr>
          </w:p>
        </w:tc>
        <w:tc>
          <w:tcPr>
            <w:tcW w:w="4940" w:type="dxa"/>
            <w:vAlign w:val="bottom"/>
            <w:gridSpan w:val="2"/>
          </w:tcPr>
          <w:p>
            <w:pPr>
              <w:ind w:left="960"/>
              <w:spacing w:after="0"/>
              <w:rPr>
                <w:sz w:val="20"/>
                <w:szCs w:val="20"/>
                <w:color w:val="auto"/>
              </w:rPr>
            </w:pPr>
            <w:r>
              <w:rPr>
                <w:rFonts w:ascii="Arial" w:cs="Arial" w:eastAsia="Arial" w:hAnsi="Arial"/>
                <w:sz w:val="18"/>
                <w:szCs w:val="18"/>
                <w:color w:val="auto"/>
              </w:rPr>
              <w:t>(Registrant)</w:t>
            </w:r>
          </w:p>
        </w:tc>
      </w:tr>
      <w:tr>
        <w:trPr>
          <w:trHeight w:val="432"/>
        </w:trPr>
        <w:tc>
          <w:tcPr>
            <w:tcW w:w="2440" w:type="dxa"/>
            <w:vAlign w:val="bottom"/>
          </w:tcPr>
          <w:p>
            <w:pPr>
              <w:spacing w:after="0"/>
              <w:rPr>
                <w:sz w:val="24"/>
                <w:szCs w:val="24"/>
                <w:color w:val="auto"/>
              </w:rPr>
            </w:pPr>
          </w:p>
        </w:tc>
        <w:tc>
          <w:tcPr>
            <w:tcW w:w="1540" w:type="dxa"/>
            <w:vAlign w:val="bottom"/>
          </w:tcPr>
          <w:p>
            <w:pPr>
              <w:ind w:left="96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2440" w:type="dxa"/>
            <w:vAlign w:val="bottom"/>
          </w:tcPr>
          <w:p>
            <w:pPr>
              <w:spacing w:after="0"/>
              <w:rPr>
                <w:sz w:val="18"/>
                <w:szCs w:val="18"/>
                <w:color w:val="auto"/>
              </w:rPr>
            </w:pPr>
          </w:p>
        </w:tc>
        <w:tc>
          <w:tcPr>
            <w:tcW w:w="1540" w:type="dxa"/>
            <w:vAlign w:val="bottom"/>
          </w:tcPr>
          <w:p>
            <w:pPr>
              <w:ind w:left="960"/>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2440" w:type="dxa"/>
            <w:vAlign w:val="bottom"/>
          </w:tcPr>
          <w:p>
            <w:pPr>
              <w:spacing w:after="0"/>
              <w:rPr>
                <w:sz w:val="20"/>
                <w:szCs w:val="20"/>
                <w:color w:val="auto"/>
              </w:rPr>
            </w:pPr>
          </w:p>
        </w:tc>
        <w:tc>
          <w:tcPr>
            <w:tcW w:w="1540" w:type="dxa"/>
            <w:vAlign w:val="bottom"/>
          </w:tcPr>
          <w:p>
            <w:pPr>
              <w:ind w:left="960"/>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151701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Brands Announces Stockholder Approval of Transactions in Connection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with the Anticipated Completion of the Spin-off of Post’s Interest in BellRing</w:t>
      </w:r>
    </w:p>
    <w:p>
      <w:pPr>
        <w:spacing w:after="0" w:line="20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ST. LOUIS, March 8, 2022 </w:t>
      </w:r>
      <w:r>
        <w:rPr>
          <w:rFonts w:ascii="Arial" w:cs="Arial" w:eastAsia="Arial" w:hAnsi="Arial"/>
          <w:sz w:val="17"/>
          <w:szCs w:val="17"/>
          <w:color w:val="auto"/>
        </w:rPr>
        <w:t>– BellRing Brands, Inc. (NYSE:BRBR) (“BellRing”) today announced that, at its stockholders meeting held today,</w:t>
      </w:r>
      <w:r>
        <w:rPr>
          <w:rFonts w:ascii="Arial" w:cs="Arial" w:eastAsia="Arial" w:hAnsi="Arial"/>
          <w:sz w:val="17"/>
          <w:szCs w:val="17"/>
          <w:b w:val="1"/>
          <w:bCs w:val="1"/>
          <w:color w:val="auto"/>
        </w:rPr>
        <w:t xml:space="preserve"> </w:t>
      </w:r>
      <w:r>
        <w:rPr>
          <w:rFonts w:ascii="Arial" w:cs="Arial" w:eastAsia="Arial" w:hAnsi="Arial"/>
          <w:sz w:val="17"/>
          <w:szCs w:val="17"/>
          <w:color w:val="auto"/>
        </w:rPr>
        <w:t>BellRing stockholders voted to adopt the transaction agreement and plan of merger in connection with Post Holdings, Inc.’s (“Post”) anticipated spin-off and distribution of 80.1% of Post’s interest in BellRing to Post shareholders, including a vote of a majority of the shares held by BellRing’s stockholders other than Post, BellRing Distribution, LLC and their respective affiliates, satisfying one of the closing conditions of the transaction.</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previously announced by Post, the distribution and merger are expected to occur after market close on March 10, 2022, subject to the satisfaction or waiver of remaining closing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Post’s proposed distribution of a significant portion of its interest in BellRing to Post shareholders, including the amount of New BellRing equity Post intends to distribute, the form of the distribution and the expected timing of the completion of the proposed transaction. There is no assurance that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release. BellRing disclaims, however, any intent or obligation to update these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7"/>
          <w:szCs w:val="17"/>
          <w:i w:val="1"/>
          <w:iCs w:val="1"/>
          <w:color w:val="auto"/>
        </w:rPr>
        <w:t>Premier Protein</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4"/>
          <w:szCs w:val="14"/>
          <w:color w:val="auto"/>
        </w:rPr>
        <w:t>®</w:t>
      </w:r>
      <w:r>
        <w:rPr>
          <w:rFonts w:ascii="Arial" w:cs="Arial" w:eastAsia="Arial" w:hAnsi="Arial"/>
          <w:sz w:val="17"/>
          <w:szCs w:val="17"/>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2022-03-08T15:45:04Z</dcterms:created>
  <dcterms:modified xsi:type="dcterms:W3CDTF">2022-03-08T15:45:04Z</dcterms:modified>
</cp:coreProperties>
</file>