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-10795</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180" w:space="28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STEIN ELLIOT JR</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BELLRING BRANDS,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BRBR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20" w:type="dxa"/>
            <w:vAlign w:val="bottom"/>
            <w:gridSpan w:val="6"/>
            <w:vMerge w:val="continue"/>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BELLRING BRANDS, INC.</w:t>
            </w:r>
          </w:p>
        </w:tc>
        <w:tc>
          <w:tcPr>
            <w:tcW w:w="1640" w:type="dxa"/>
            <w:vAlign w:val="bottom"/>
            <w:gridSpan w:val="6"/>
          </w:tcPr>
          <w:p>
            <w:pPr>
              <w:ind w:left="160"/>
              <w:spacing w:after="0"/>
              <w:rPr>
                <w:sz w:val="20"/>
                <w:szCs w:val="20"/>
                <w:color w:val="auto"/>
              </w:rPr>
            </w:pPr>
            <w:r>
              <w:rPr>
                <w:rFonts w:ascii="Arial" w:cs="Arial" w:eastAsia="Arial" w:hAnsi="Arial"/>
                <w:sz w:val="17"/>
                <w:szCs w:val="17"/>
                <w:color w:val="0000FF"/>
              </w:rPr>
              <w:t>03/10/2022</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2503 S. HANLEY ROAD</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6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ST. LOUIS</w:t>
            </w:r>
          </w:p>
        </w:tc>
        <w:tc>
          <w:tcPr>
            <w:tcW w:w="1120" w:type="dxa"/>
            <w:vAlign w:val="bottom"/>
            <w:gridSpan w:val="3"/>
          </w:tcPr>
          <w:p>
            <w:pPr>
              <w:ind w:left="40"/>
              <w:spacing w:after="0"/>
              <w:rPr>
                <w:sz w:val="20"/>
                <w:szCs w:val="20"/>
                <w:color w:val="auto"/>
              </w:rPr>
            </w:pPr>
            <w:r>
              <w:rPr>
                <w:rFonts w:ascii="Arial" w:cs="Arial" w:eastAsia="Arial" w:hAnsi="Arial"/>
                <w:sz w:val="17"/>
                <w:szCs w:val="17"/>
                <w:color w:val="0000FF"/>
              </w:rPr>
              <w:t>MO</w:t>
            </w:r>
          </w:p>
        </w:tc>
        <w:tc>
          <w:tcPr>
            <w:tcW w:w="1340" w:type="dxa"/>
            <w:vAlign w:val="bottom"/>
          </w:tcPr>
          <w:p>
            <w:pPr>
              <w:ind w:left="140"/>
              <w:spacing w:after="0"/>
              <w:rPr>
                <w:sz w:val="20"/>
                <w:szCs w:val="20"/>
                <w:color w:val="auto"/>
              </w:rPr>
            </w:pPr>
            <w:r>
              <w:rPr>
                <w:rFonts w:ascii="Arial" w:cs="Arial" w:eastAsia="Arial" w:hAnsi="Arial"/>
                <w:sz w:val="17"/>
                <w:szCs w:val="17"/>
                <w:color w:val="0000FF"/>
              </w:rPr>
              <w:t>63144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500" w:type="dxa"/>
            <w:vAlign w:val="bottom"/>
            <w:tcBorders>
              <w:bottom w:val="single" w:sz="8" w:color="2C2C2C"/>
            </w:tcBorders>
            <w:gridSpan w:val="5"/>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520" w:type="dxa"/>
            <w:vAlign w:val="bottom"/>
            <w:tcBorders>
              <w:top w:val="single" w:sz="8" w:color="2C2C2C"/>
            </w:tcBorders>
            <w:gridSpan w:val="18"/>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tcPr>
          <w:p>
            <w:pPr>
              <w:ind w:left="900"/>
              <w:spacing w:after="0"/>
              <w:rPr>
                <w:sz w:val="20"/>
                <w:szCs w:val="20"/>
                <w:color w:val="auto"/>
              </w:rPr>
            </w:pPr>
            <w:r>
              <w:rPr>
                <w:rFonts w:ascii="Arial" w:cs="Arial" w:eastAsia="Arial" w:hAnsi="Arial"/>
                <w:sz w:val="17"/>
                <w:szCs w:val="17"/>
                <w:color w:val="0000FF"/>
              </w:rPr>
              <w:t>03/10/2022</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D</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0000FF"/>
              </w:rPr>
              <w:t>2,000</w:t>
            </w:r>
          </w:p>
        </w:tc>
        <w:tc>
          <w:tcPr>
            <w:tcW w:w="640" w:type="dxa"/>
            <w:vAlign w:val="bottom"/>
          </w:tcPr>
          <w:p>
            <w:pPr>
              <w:ind w:left="280"/>
              <w:spacing w:after="0"/>
              <w:rPr>
                <w:sz w:val="20"/>
                <w:szCs w:val="20"/>
                <w:color w:val="auto"/>
              </w:rPr>
            </w:pPr>
            <w:r>
              <w:rPr>
                <w:rFonts w:ascii="Arial" w:cs="Arial" w:eastAsia="Arial" w:hAnsi="Arial"/>
                <w:sz w:val="17"/>
                <w:szCs w:val="17"/>
                <w:color w:val="0000FF"/>
              </w:rPr>
              <w:t>D</w:t>
            </w:r>
          </w:p>
        </w:tc>
        <w:tc>
          <w:tcPr>
            <w:tcW w:w="360" w:type="dxa"/>
            <w:vAlign w:val="bottom"/>
            <w:gridSpan w:val="3"/>
          </w:tcPr>
          <w:p>
            <w:pPr>
              <w:jc w:val="right"/>
              <w:ind w:right="6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3"/>
                <w:szCs w:val="23"/>
                <w:color w:val="auto"/>
              </w:rPr>
            </w:pPr>
          </w:p>
        </w:tc>
        <w:tc>
          <w:tcPr>
            <w:tcW w:w="1200" w:type="dxa"/>
            <w:vAlign w:val="bottom"/>
            <w:gridSpan w:val="2"/>
          </w:tcPr>
          <w:p>
            <w:pPr>
              <w:jc w:val="right"/>
              <w:ind w:right="317"/>
              <w:spacing w:after="0"/>
              <w:rPr>
                <w:sz w:val="20"/>
                <w:szCs w:val="20"/>
                <w:color w:val="auto"/>
              </w:rPr>
            </w:pPr>
            <w:r>
              <w:rPr>
                <w:rFonts w:ascii="Arial" w:cs="Arial" w:eastAsia="Arial" w:hAnsi="Arial"/>
                <w:sz w:val="17"/>
                <w:szCs w:val="17"/>
                <w:color w:val="0000FF"/>
              </w:rPr>
              <w:t>13,927</w:t>
            </w:r>
          </w:p>
        </w:tc>
        <w:tc>
          <w:tcPr>
            <w:tcW w:w="940" w:type="dxa"/>
            <w:vAlign w:val="bottom"/>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4"/>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2"/>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gridSpan w:val="2"/>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Arial" w:cs="Arial" w:eastAsia="Arial" w:hAnsi="Arial"/>
                <w:sz w:val="17"/>
                <w:szCs w:val="17"/>
                <w:color w:val="0000FF"/>
              </w:rPr>
              <w:t>03/10/2022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13,927</w:t>
            </w:r>
            <w:r>
              <w:rPr>
                <w:rFonts w:ascii="Arial" w:cs="Arial" w:eastAsia="Arial" w:hAnsi="Arial"/>
                <w:sz w:val="22"/>
                <w:szCs w:val="22"/>
                <w:color w:val="008000"/>
                <w:vertAlign w:val="superscript"/>
              </w:rPr>
              <w:t>(2)</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gridSpan w:val="4"/>
          </w:tcPr>
          <w:p>
            <w:pPr>
              <w:jc w:val="right"/>
              <w:ind w:right="91"/>
              <w:spacing w:after="0"/>
              <w:rPr>
                <w:sz w:val="20"/>
                <w:szCs w:val="20"/>
                <w:color w:val="auto"/>
              </w:rPr>
            </w:pPr>
            <w:r>
              <w:rPr>
                <w:rFonts w:ascii="Arial" w:cs="Arial" w:eastAsia="Arial" w:hAnsi="Arial"/>
                <w:sz w:val="11"/>
                <w:szCs w:val="11"/>
                <w:color w:val="008000"/>
              </w:rPr>
              <w:t>(1)(2)</w:t>
            </w: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517"/>
              <w:spacing w:after="0"/>
              <w:rPr>
                <w:sz w:val="20"/>
                <w:szCs w:val="20"/>
                <w:color w:val="auto"/>
              </w:rPr>
            </w:pPr>
            <w:r>
              <w:rPr>
                <w:rFonts w:ascii="Arial" w:cs="Arial" w:eastAsia="Arial" w:hAnsi="Arial"/>
                <w:sz w:val="17"/>
                <w:szCs w:val="17"/>
                <w:color w:val="0000FF"/>
              </w:rPr>
              <w:t>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7"/>
        <w:spacing w:after="0" w:line="268"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10, 2022, Post Holdings, Inc. ("Post") and BellRing Intermediate Holdings, Inc. (formerly known as BellRing Brands, Inc.) ("Old BellRing") completed the transactions under the transaction agreement and plan of merger entered into on October 26, 2021, as amended on February 28, 2022, whereby Post contributed its membership units of BellRing Brands, LLC into a newly-formed subsidiary, BellRing Distribution, LLC (which converted into a Delaware corporation prior to the distribution and was renamed "BellRing Brands, Inc.") ("New BellRing"), in exchange for New BellRing stock and New BellRing debt securities and distributed a portion of its New BellRing stock to Post shareholders in a pro-rata distribution, following which Old BellRing merged with a subsidiary of New BellRing and each outstanding share of Old BellRing Class A common stock was converted into one share of New BellRing common stock and $2.97 in cash (collectively, the "Transactions").</w:t>
      </w:r>
    </w:p>
    <w:p>
      <w:pPr>
        <w:spacing w:after="0" w:line="15" w:lineRule="exact"/>
        <w:rPr>
          <w:rFonts w:ascii="Arial" w:cs="Arial" w:eastAsia="Arial" w:hAnsi="Arial"/>
          <w:sz w:val="12"/>
          <w:szCs w:val="12"/>
          <w:color w:val="008000"/>
        </w:rPr>
      </w:pPr>
    </w:p>
    <w:p>
      <w:pPr>
        <w:ind w:left="40" w:right="3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connection with the Transactions, unvested restricted stock units of Old BellRing were assumed by New BellRing and continue to be subject to the same terms and conditions of the Old BellRing awards.</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Craig L. Rosenthal,</w:t>
            </w:r>
          </w:p>
        </w:tc>
        <w:tc>
          <w:tcPr>
            <w:tcW w:w="5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03/10/2022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85613" TargetMode="External"/><Relationship Id="rId13"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2022-03-10T15:58:04Z</dcterms:created>
  <dcterms:modified xsi:type="dcterms:W3CDTF">2022-03-10T15:58:04Z</dcterms:modified>
</cp:coreProperties>
</file>