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6" w:right="479" w:bottom="51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ROSENTHAL CRAIG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4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511"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23"/>
        <w:spacing w:after="0"/>
        <w:rPr>
          <w:sz w:val="20"/>
          <w:szCs w:val="20"/>
          <w:color w:val="auto"/>
        </w:rPr>
      </w:pPr>
      <w:r>
        <w:rPr>
          <w:rFonts w:ascii="Arial" w:cs="Arial" w:eastAsia="Arial" w:hAnsi="Arial"/>
          <w:sz w:val="20"/>
          <w:szCs w:val="20"/>
          <w:color w:val="0000FF"/>
        </w:rPr>
        <w:t>SVP, GC &amp; SECRETARY</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511"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right="215"/>
              <w:spacing w:after="0"/>
              <w:rPr>
                <w:sz w:val="20"/>
                <w:szCs w:val="20"/>
                <w:color w:val="auto"/>
              </w:rPr>
            </w:pPr>
            <w:r>
              <w:rPr>
                <w:rFonts w:ascii="Arial" w:cs="Arial" w:eastAsia="Arial" w:hAnsi="Arial"/>
                <w:sz w:val="20"/>
                <w:szCs w:val="20"/>
                <w:color w:val="0000FF"/>
              </w:rPr>
              <w:t>36,850</w:t>
            </w:r>
            <w:r>
              <w:rPr>
                <w:rFonts w:ascii="Arial" w:cs="Arial" w:eastAsia="Arial" w:hAnsi="Arial"/>
                <w:sz w:val="25"/>
                <w:szCs w:val="25"/>
                <w:color w:val="008000"/>
                <w:vertAlign w:val="superscript"/>
              </w:rPr>
              <w:t>(1)(2)</w:t>
            </w:r>
          </w:p>
        </w:tc>
        <w:tc>
          <w:tcPr>
            <w:tcW w:w="1000" w:type="dxa"/>
            <w:vAlign w:val="bottom"/>
            <w:tcBorders>
              <w:bottom w:val="single" w:sz="8" w:color="2C2C2C"/>
            </w:tcBorders>
            <w:gridSpan w:val="2"/>
          </w:tcPr>
          <w:p>
            <w:pPr>
              <w:ind w:left="82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jc w:val="center"/>
              <w:ind w:right="335"/>
              <w:spacing w:after="0"/>
              <w:rPr>
                <w:sz w:val="20"/>
                <w:szCs w:val="20"/>
                <w:color w:val="auto"/>
              </w:rPr>
            </w:pPr>
            <w:r>
              <w:rPr>
                <w:rFonts w:ascii="Arial" w:cs="Arial" w:eastAsia="Arial" w:hAnsi="Arial"/>
                <w:sz w:val="20"/>
                <w:szCs w:val="20"/>
                <w:color w:val="0000FF"/>
              </w:rPr>
              <w:t>1,725</w:t>
            </w:r>
            <w:r>
              <w:rPr>
                <w:rFonts w:ascii="Arial" w:cs="Arial" w:eastAsia="Arial" w:hAnsi="Arial"/>
                <w:sz w:val="25"/>
                <w:szCs w:val="25"/>
                <w:color w:val="008000"/>
                <w:vertAlign w:val="superscript"/>
              </w:rPr>
              <w:t>(1)</w:t>
            </w:r>
          </w:p>
        </w:tc>
        <w:tc>
          <w:tcPr>
            <w:tcW w:w="1000" w:type="dxa"/>
            <w:vAlign w:val="bottom"/>
            <w:tcBorders>
              <w:bottom w:val="single" w:sz="8" w:color="2C2C2C"/>
            </w:tcBorders>
            <w:gridSpan w:val="2"/>
          </w:tcPr>
          <w:p>
            <w:pPr>
              <w:ind w:left="860"/>
              <w:spacing w:after="0"/>
              <w:rPr>
                <w:sz w:val="20"/>
                <w:szCs w:val="20"/>
                <w:color w:val="auto"/>
              </w:rPr>
            </w:pPr>
            <w:r>
              <w:rPr>
                <w:rFonts w:ascii="Arial" w:cs="Arial" w:eastAsia="Arial" w:hAnsi="Arial"/>
                <w:sz w:val="20"/>
                <w:szCs w:val="20"/>
                <w:color w:val="0000FF"/>
              </w:rPr>
              <w:t>I</w:t>
            </w:r>
          </w:p>
        </w:tc>
        <w:tc>
          <w:tcPr>
            <w:tcW w:w="1860" w:type="dxa"/>
            <w:vAlign w:val="bottom"/>
            <w:tcBorders>
              <w:bottom w:val="single" w:sz="8" w:color="2C2C2C"/>
            </w:tcBorders>
            <w:gridSpan w:val="2"/>
          </w:tcPr>
          <w:p>
            <w:pPr>
              <w:ind w:left="560"/>
              <w:spacing w:after="0"/>
              <w:rPr>
                <w:sz w:val="20"/>
                <w:szCs w:val="20"/>
                <w:color w:val="auto"/>
              </w:rPr>
            </w:pPr>
            <w:r>
              <w:rPr>
                <w:rFonts w:ascii="Arial" w:cs="Arial" w:eastAsia="Arial" w:hAnsi="Arial"/>
                <w:sz w:val="20"/>
                <w:szCs w:val="20"/>
                <w:color w:val="0000FF"/>
              </w:rPr>
              <w:t>By 2012 Trust</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gridSpan w:val="2"/>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10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right"/>
              <w:ind w:right="45"/>
              <w:spacing w:after="0"/>
              <w:rPr>
                <w:sz w:val="20"/>
                <w:szCs w:val="20"/>
                <w:color w:val="auto"/>
              </w:rPr>
            </w:pPr>
            <w:r>
              <w:rPr>
                <w:rFonts w:ascii="Arial" w:cs="Arial" w:eastAsia="Arial" w:hAnsi="Arial"/>
                <w:sz w:val="15"/>
                <w:szCs w:val="15"/>
                <w:color w:val="0000FF"/>
              </w:rPr>
              <w:t>11/12/2030</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40" w:type="dxa"/>
            <w:vAlign w:val="bottom"/>
            <w:vMerge w:val="restart"/>
          </w:tcPr>
          <w:p>
            <w:pPr>
              <w:ind w:left="200"/>
              <w:spacing w:after="0"/>
              <w:rPr>
                <w:sz w:val="20"/>
                <w:szCs w:val="20"/>
                <w:color w:val="auto"/>
              </w:rPr>
            </w:pPr>
            <w:r>
              <w:rPr>
                <w:rFonts w:ascii="Arial" w:cs="Arial" w:eastAsia="Arial" w:hAnsi="Arial"/>
                <w:sz w:val="20"/>
                <w:szCs w:val="20"/>
                <w:color w:val="0000FF"/>
                <w:w w:val="88"/>
              </w:rPr>
              <w:t>14,113</w:t>
            </w:r>
            <w:r>
              <w:rPr>
                <w:rFonts w:ascii="Arial" w:cs="Arial" w:eastAsia="Arial" w:hAnsi="Arial"/>
                <w:sz w:val="25"/>
                <w:szCs w:val="25"/>
                <w:color w:val="008000"/>
                <w:w w:val="88"/>
                <w:vertAlign w:val="superscript"/>
              </w:rPr>
              <w:t>(3)</w:t>
            </w:r>
          </w:p>
        </w:tc>
        <w:tc>
          <w:tcPr>
            <w:tcW w:w="60" w:type="dxa"/>
            <w:vAlign w:val="bottom"/>
          </w:tcPr>
          <w:p>
            <w:pPr>
              <w:spacing w:after="0"/>
              <w:rPr>
                <w:sz w:val="24"/>
                <w:szCs w:val="24"/>
                <w:color w:val="auto"/>
              </w:rPr>
            </w:pPr>
          </w:p>
        </w:tc>
        <w:tc>
          <w:tcPr>
            <w:tcW w:w="940" w:type="dxa"/>
            <w:vAlign w:val="bottom"/>
            <w:vMerge w:val="restart"/>
          </w:tcPr>
          <w:p>
            <w:pPr>
              <w:ind w:left="160"/>
              <w:spacing w:after="0"/>
              <w:rPr>
                <w:sz w:val="20"/>
                <w:szCs w:val="20"/>
                <w:color w:val="auto"/>
              </w:rPr>
            </w:pPr>
            <w:r>
              <w:rPr>
                <w:rFonts w:ascii="Arial" w:cs="Arial" w:eastAsia="Arial" w:hAnsi="Arial"/>
                <w:sz w:val="20"/>
                <w:szCs w:val="20"/>
                <w:color w:val="0000FF"/>
              </w:rPr>
              <w:t>20.05</w:t>
            </w:r>
            <w:r>
              <w:rPr>
                <w:rFonts w:ascii="Arial" w:cs="Arial" w:eastAsia="Arial" w:hAnsi="Arial"/>
                <w:sz w:val="25"/>
                <w:szCs w:val="25"/>
                <w:color w:val="008000"/>
                <w:vertAlign w:val="superscript"/>
              </w:rPr>
              <w:t>(3)</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2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160" w:firstLine="5"/>
        <w:spacing w:after="0" w:line="260"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an option to purchase common stock of New BellRing, which was received by the Reporting Person in the Transactions. The original option grant of Old BellRing provided for vesting in equal annual installments over three years commencing November 12, 2021 (the "Original Option") and was assumed by New BellRing in connection with the Transactions and replaced with an option to purchase an equal number shares of New BellRing common stock, under the same terms and conditions as the Original Option. Such award may be adjusted to account for the cash consideration payable to stockholders of Old BellRing in the Transactions.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Craig L. Rosenthal</w:t>
            </w:r>
          </w:p>
        </w:tc>
        <w:tc>
          <w:tcPr>
            <w:tcW w:w="900" w:type="dxa"/>
            <w:vAlign w:val="bottom"/>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80" w:type="dxa"/>
            <w:vAlign w:val="bottom"/>
          </w:tcPr>
          <w:p>
            <w:pPr>
              <w:spacing w:after="0"/>
              <w:rPr>
                <w:sz w:val="21"/>
                <w:szCs w:val="21"/>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5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0252"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2022-03-10T16:38:08Z</dcterms:created>
  <dcterms:modified xsi:type="dcterms:W3CDTF">2022-03-10T16:38:08Z</dcterms:modified>
</cp:coreProperties>
</file>