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5243830</wp:posOffset>
            </wp:positionH>
            <wp:positionV relativeFrom="paragraph">
              <wp:posOffset>-584200</wp:posOffset>
            </wp:positionV>
            <wp:extent cx="7620" cy="5848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-592455</wp:posOffset>
            </wp:positionV>
            <wp:extent cx="7620" cy="593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-568325</wp:posOffset>
            </wp:positionV>
            <wp:extent cx="1272540" cy="54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31115</wp:posOffset>
            </wp:positionV>
            <wp:extent cx="6972935" cy="1684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93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BRBR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56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Inc. 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1,102.041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07/02/2020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1,102.041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19.66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2,335.876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 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-2593340</wp:posOffset>
            </wp:positionV>
            <wp:extent cx="7035800" cy="2727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272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Equivalents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equivalents have no fixed exercisable or expiration dates.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Craig L. Rosenthal,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25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2908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5589270</wp:posOffset>
            </wp:positionH>
            <wp:positionV relativeFrom="paragraph">
              <wp:posOffset>-80010</wp:posOffset>
            </wp:positionV>
            <wp:extent cx="46799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3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2020-07-06T15:12:13Z</dcterms:created>
  <dcterms:modified xsi:type="dcterms:W3CDTF">2020-07-06T15:12:13Z</dcterms:modified>
</cp:coreProperties>
</file>