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-10795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80" w:space="28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Post Holdings, Inc.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BELLRING BRANDS,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BRBR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08/11/2022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260" w:space="555"/>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ST. LOUIS</w:t>
            </w:r>
          </w:p>
        </w:tc>
        <w:tc>
          <w:tcPr>
            <w:tcW w:w="1040" w:type="dxa"/>
            <w:vAlign w:val="bottom"/>
          </w:tcPr>
          <w:p>
            <w:pPr>
              <w:ind w:left="220"/>
              <w:spacing w:after="0"/>
              <w:rPr>
                <w:sz w:val="20"/>
                <w:szCs w:val="20"/>
                <w:color w:val="auto"/>
              </w:rPr>
            </w:pPr>
            <w:r>
              <w:rPr>
                <w:rFonts w:ascii="Arial" w:cs="Arial" w:eastAsia="Arial" w:hAnsi="Arial"/>
                <w:sz w:val="17"/>
                <w:szCs w:val="17"/>
                <w:color w:val="0000FF"/>
              </w:rPr>
              <w:t>MO</w:t>
            </w:r>
          </w:p>
        </w:tc>
        <w:tc>
          <w:tcPr>
            <w:tcW w:w="1600" w:type="dxa"/>
            <w:vAlign w:val="bottom"/>
          </w:tcPr>
          <w:p>
            <w:pPr>
              <w:ind w:left="400"/>
              <w:spacing w:after="0"/>
              <w:rPr>
                <w:sz w:val="20"/>
                <w:szCs w:val="20"/>
                <w:color w:val="auto"/>
              </w:rPr>
            </w:pPr>
            <w:r>
              <w:rPr>
                <w:rFonts w:ascii="Arial" w:cs="Arial" w:eastAsia="Arial" w:hAnsi="Arial"/>
                <w:sz w:val="17"/>
                <w:szCs w:val="17"/>
                <w:color w:val="0000FF"/>
              </w:rPr>
              <w:t>63144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20"/>
              <w:spacing w:after="0"/>
              <w:rPr>
                <w:sz w:val="20"/>
                <w:szCs w:val="20"/>
                <w:color w:val="auto"/>
              </w:rPr>
            </w:pPr>
            <w:r>
              <w:rPr>
                <w:rFonts w:ascii="Arial" w:cs="Arial" w:eastAsia="Arial" w:hAnsi="Arial"/>
                <w:sz w:val="17"/>
                <w:szCs w:val="17"/>
                <w:color w:val="0000FF"/>
                <w:w w:val="97"/>
              </w:rPr>
              <w:t>08/11/2022</w:t>
            </w:r>
            <w:r>
              <w:rPr>
                <w:rFonts w:ascii="Arial" w:cs="Arial" w:eastAsia="Arial" w:hAnsi="Arial"/>
                <w:sz w:val="22"/>
                <w:szCs w:val="22"/>
                <w:color w:val="008000"/>
                <w:w w:val="97"/>
                <w:vertAlign w:val="superscript"/>
              </w:rPr>
              <w:t>(1)</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(2)</w:t>
            </w:r>
          </w:p>
        </w:tc>
        <w:tc>
          <w:tcPr>
            <w:tcW w:w="110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14,800,000</w:t>
            </w:r>
          </w:p>
        </w:tc>
        <w:tc>
          <w:tcPr>
            <w:tcW w:w="36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D</w:t>
            </w: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1"/>
                <w:szCs w:val="11"/>
                <w:color w:val="008000"/>
              </w:rPr>
              <w:t>(2)</w:t>
            </w:r>
          </w:p>
        </w:tc>
        <w:tc>
          <w:tcPr>
            <w:tcW w:w="140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4,597,339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Late filing inadvertently omitted at the time of the transaction. The information set forth in this Form 4 was filed by Post Holdings, Inc. ("Post") with the Securities and Exchange Commission in a Form 8-K on August 11, 2022.</w:t>
      </w:r>
    </w:p>
    <w:p>
      <w:pPr>
        <w:spacing w:after="0" w:line="15" w:lineRule="exact"/>
        <w:rPr>
          <w:rFonts w:ascii="Arial" w:cs="Arial" w:eastAsia="Arial" w:hAnsi="Arial"/>
          <w:sz w:val="13"/>
          <w:szCs w:val="13"/>
          <w:color w:val="008000"/>
        </w:rPr>
      </w:pPr>
    </w:p>
    <w:p>
      <w:pPr>
        <w:ind w:left="40" w:right="180" w:firstLine="7"/>
        <w:spacing w:after="0" w:line="245"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August 8, 2022, Post entered into an Exchange Agreement (the "Exchange Agreement"), by and among Post and J.P. Morgan Securities LLC, Barclays Bank PLC, Citicorp North America, Inc., Goldman Sachs Lending Partners LLC and Morgan Stanley &amp; Co. LLC (the "funding incremental term loan lenders"). Under the Exchange Agreement, on August 11, 2022, Post transferred 14,800,000 shares of the common stock of the Issuer to the funding incremental term loan lenders (or their respective designees) to repay and retire approximately $340 million in aggregate principal amount of Post's previously announced incremental term loan, excluding any accrued interest, which was paid with cash off of Post's balance sheet.</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/s/ Diedre J. Gray, EVP,</w:t>
            </w:r>
          </w:p>
        </w:tc>
        <w:tc>
          <w:tcPr>
            <w:tcW w:w="420" w:type="dxa"/>
            <w:vAlign w:val="bottom"/>
            <w:gridSpan w:val="2"/>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10/28/2022</w:t>
            </w:r>
          </w:p>
        </w:tc>
        <w:tc>
          <w:tcPr>
            <w:tcW w:w="0" w:type="dxa"/>
            <w:vAlign w:val="bottom"/>
          </w:tcPr>
          <w:p>
            <w:pPr>
              <w:spacing w:after="0"/>
              <w:rPr>
                <w:sz w:val="1"/>
                <w:szCs w:val="1"/>
                <w:color w:val="auto"/>
              </w:rPr>
            </w:pPr>
          </w:p>
        </w:tc>
      </w:tr>
      <w:tr>
        <w:trPr>
          <w:trHeight w:val="87"/>
        </w:trPr>
        <w:tc>
          <w:tcPr>
            <w:tcW w:w="18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w w:val="91"/>
              </w:rPr>
              <w:t>General Counsel and CAO</w:t>
            </w:r>
          </w:p>
        </w:tc>
        <w:tc>
          <w:tcPr>
            <w:tcW w:w="2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80" w:type="dxa"/>
            <w:vAlign w:val="bottom"/>
            <w:tcBorders>
              <w:bottom w:val="single" w:sz="8" w:color="auto"/>
            </w:tcBorders>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0950"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2022-10-28T15:48:36Z</dcterms:created>
  <dcterms:modified xsi:type="dcterms:W3CDTF">2022-10-28T15:48:36Z</dcterms:modified>
</cp:coreProperties>
</file>