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ERICKSON THOMAS 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BELLRING BRANDS,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BRBR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BELLRING BRANDS, INC.</w:t>
            </w: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02/01/2023</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2503 S. HANLEY ROAD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ST. LOUIS</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MO</w:t>
            </w:r>
          </w:p>
        </w:tc>
        <w:tc>
          <w:tcPr>
            <w:tcW w:w="1340" w:type="dxa"/>
            <w:vAlign w:val="bottom"/>
          </w:tcPr>
          <w:p>
            <w:pPr>
              <w:ind w:left="140"/>
              <w:spacing w:after="0"/>
              <w:rPr>
                <w:sz w:val="20"/>
                <w:szCs w:val="20"/>
                <w:color w:val="auto"/>
              </w:rPr>
            </w:pPr>
            <w:r>
              <w:rPr>
                <w:rFonts w:ascii="Arial" w:cs="Arial" w:eastAsia="Arial" w:hAnsi="Arial"/>
                <w:sz w:val="17"/>
                <w:szCs w:val="17"/>
                <w:color w:val="0000FF"/>
              </w:rPr>
              <w:t>63144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2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02/01/2023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9"/>
              </w:rPr>
              <w:t>3,800</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19,176</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BellRing Brands, Inc. common stock granted under the BellRing Brands, Inc. 2019 Long-Term Incentive Plan. The restricted stock units vest in full on the first anniversary of the date of grant subject to the terms of the award agreement.</w:t>
      </w:r>
    </w:p>
    <w:p>
      <w:pPr>
        <w:spacing w:after="0" w:line="15" w:lineRule="exact"/>
        <w:rPr>
          <w:rFonts w:ascii="Arial" w:cs="Arial" w:eastAsia="Arial" w:hAnsi="Arial"/>
          <w:sz w:val="13"/>
          <w:szCs w:val="13"/>
          <w:color w:val="008000"/>
        </w:rPr>
      </w:pPr>
    </w:p>
    <w:p>
      <w:pPr>
        <w:ind w:left="40" w:right="1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1,636 additional RSUs received in connection with such adjustment, which RSUs are subject to the same vesting terms as the underlying awards.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02/03/2023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535"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2023-02-03T16:30:34Z</dcterms:created>
  <dcterms:modified xsi:type="dcterms:W3CDTF">2023-02-03T16:30:34Z</dcterms:modified>
</cp:coreProperties>
</file>