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63703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on Tuesday, January 28, 2025. We will hold the meeting at 9:00 a.m., Central Time. The meeting will be entirely virtual, conducted via a live audio- only webcast.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meeting, we have prepared a notice of the meeting, a proxy statement, a proxy card and our annual report to stockholders for the fiscal year ended September 30, 2024, which contain detailed information about us and our operating and financial performance. On or about December 17, 2024, we began mailing to our stockholders these materials or a Notice Regarding the Availability of Proxy Materials containing instructions on how to access these materials online.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9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217170</wp:posOffset>
            </wp:positionV>
            <wp:extent cx="164592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2025 annual meeting of stockholders of BellRing Brands, Inc. will be held at 9:00 a.m., Central Time, on Tuesday, January 28, 2025. The meeting will be held exclusively online, via a live audio-only webcast. If you plan to attend the virtual meeting, please see the information below as well as the attendance and registration instructions in the proxy statement. There will be no physical location for this meeting.</w:t>
      </w:r>
    </w:p>
    <w:p>
      <w:pPr>
        <w:sectPr>
          <w:pgSz w:w="11900" w:h="16838" w:orient="portrait"/>
          <w:cols w:equalWidth="0" w:num="1">
            <w:col w:w="11140"/>
          </w:cols>
          <w:pgMar w:left="320" w:top="482" w:right="439" w:bottom="1440" w:gutter="0" w:footer="0" w:header="0"/>
        </w:sectPr>
      </w:pP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Meeting Information: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January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www.meetnow.global/MCUWRJJ</w:t>
      </w:r>
    </w:p>
    <w:p>
      <w:pPr>
        <w:spacing w:after="0" w:line="200" w:lineRule="exact"/>
        <w:rPr>
          <w:sz w:val="20"/>
          <w:szCs w:val="20"/>
          <w:color w:val="auto"/>
        </w:rPr>
      </w:pPr>
    </w:p>
    <w:p>
      <w:pPr>
        <w:sectPr>
          <w:pgSz w:w="11900" w:h="16838" w:orient="portrait"/>
          <w:cols w:equalWidth="0" w:num="3">
            <w:col w:w="2580" w:space="720"/>
            <w:col w:w="620" w:space="500"/>
            <w:col w:w="6720"/>
          </w:cols>
          <w:pgMar w:left="320" w:top="482" w:right="439" w:bottom="1440" w:gutter="0" w:footer="0" w:header="0"/>
          <w:type w:val="continuous"/>
        </w:sectPr>
      </w:pP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annual meeting, stockholders will consider the following matters:</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Company’s Certificate of Incorporation to declassify the Company’s Board of Directors;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election of two nominees to the Company’s Board of Directors;</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September 30, 2025;</w:t>
      </w:r>
    </w:p>
    <w:p>
      <w:pPr>
        <w:spacing w:after="0" w:line="67" w:lineRule="exact"/>
        <w:rPr>
          <w:rFonts w:ascii="Times New Roman" w:cs="Times New Roman" w:eastAsia="Times New Roman" w:hAnsi="Times New Roman"/>
          <w:sz w:val="18"/>
          <w:szCs w:val="18"/>
          <w:b w:val="1"/>
          <w:bCs w:val="1"/>
          <w:color w:val="auto"/>
        </w:rPr>
      </w:pPr>
    </w:p>
    <w:p>
      <w:pPr>
        <w:jc w:val="both"/>
        <w:ind w:left="1080" w:right="6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7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consider and vote on a stockholder proposal to adopt a director election resignation guideline; and</w:t>
      </w:r>
    </w:p>
    <w:p>
      <w:pPr>
        <w:spacing w:after="0" w:line="135"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business properly introduced at the annual meeting.</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close of business on December 2, 2024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December 17, 2024.</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183"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vote is important. Please note that if you hold your shares through a broker, your broker cannot vote your shares on any matter, except ratification of the appointment of PricewaterhouseCoopers LLP as our</w:t>
      </w:r>
    </w:p>
    <w:p>
      <w:pPr>
        <w:sectPr>
          <w:pgSz w:w="11900" w:h="16838" w:orient="portrait"/>
          <w:cols w:equalWidth="0" w:num="1">
            <w:col w:w="1114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 in the absence of your specific instructions as to how to vote. In order for your vote to be counted, please make sure that you submit your vote to your broker.</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91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0" w:lineRule="exact"/>
        <w:rPr>
          <w:sz w:val="20"/>
          <w:szCs w:val="20"/>
          <w:color w:val="auto"/>
        </w:rPr>
      </w:pPr>
    </w:p>
    <w:p>
      <w:pPr>
        <w:spacing w:after="0" w:line="219" w:lineRule="exact"/>
        <w:rPr>
          <w:sz w:val="20"/>
          <w:szCs w:val="20"/>
          <w:color w:val="auto"/>
        </w:rPr>
      </w:pPr>
    </w:p>
    <w:p>
      <w:pPr>
        <w:jc w:val="center"/>
        <w:ind w:left="500" w:right="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JANUARY 28, 2025</w:t>
      </w:r>
    </w:p>
    <w:p>
      <w:pPr>
        <w:spacing w:after="0" w:line="155" w:lineRule="exact"/>
        <w:rPr>
          <w:sz w:val="20"/>
          <w:szCs w:val="20"/>
          <w:color w:val="auto"/>
        </w:rPr>
      </w:pPr>
    </w:p>
    <w:p>
      <w:pPr>
        <w:jc w:val="cente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notice, the proxy statement attached to this notice and our annual report to stockholders for the fiscal year ended September 30, 2024 are available at </w:t>
      </w:r>
      <w:r>
        <w:rPr>
          <w:rFonts w:ascii="Times New Roman" w:cs="Times New Roman" w:eastAsia="Times New Roman" w:hAnsi="Times New Roman"/>
          <w:sz w:val="18"/>
          <w:szCs w:val="18"/>
          <w:b w:val="1"/>
          <w:bCs w:val="1"/>
          <w:i w:val="1"/>
          <w:iCs w:val="1"/>
          <w:color w:val="auto"/>
        </w:rPr>
        <w:t>www.envisionreports.com/BRBR</w:t>
      </w:r>
      <w:r>
        <w:rPr>
          <w:rFonts w:ascii="Times New Roman" w:cs="Times New Roman" w:eastAsia="Times New Roman" w:hAnsi="Times New Roman"/>
          <w:sz w:val="18"/>
          <w:szCs w:val="18"/>
          <w:b w:val="1"/>
          <w:bCs w:val="1"/>
          <w:color w:val="auto"/>
        </w:rPr>
        <w:t xml:space="preserve"> and on our website at </w:t>
      </w:r>
      <w:r>
        <w:rPr>
          <w:rFonts w:ascii="Times New Roman" w:cs="Times New Roman" w:eastAsia="Times New Roman" w:hAnsi="Times New Roman"/>
          <w:sz w:val="18"/>
          <w:szCs w:val="18"/>
          <w:b w:val="1"/>
          <w:bCs w:val="1"/>
          <w:i w:val="1"/>
          <w:iCs w:val="1"/>
          <w:color w:val="auto"/>
        </w:rPr>
        <w:t>www.bellring.com</w:t>
      </w:r>
      <w:r>
        <w:rPr>
          <w:rFonts w:ascii="Times New Roman" w:cs="Times New Roman" w:eastAsia="Times New Roman" w:hAnsi="Times New Roman"/>
          <w:sz w:val="18"/>
          <w:szCs w:val="18"/>
          <w:b w:val="1"/>
          <w:bCs w:val="1"/>
          <w:color w:val="auto"/>
        </w:rPr>
        <w:t>.</w:t>
      </w:r>
    </w:p>
    <w:p>
      <w:pPr>
        <w:sectPr>
          <w:pgSz w:w="11900" w:h="16838" w:orient="portrait"/>
          <w:cols w:equalWidth="0" w:num="1">
            <w:col w:w="11060"/>
          </w:cols>
          <w:pgMar w:left="320" w:top="48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68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266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7"/>
              </w:rPr>
              <w:t>PROXY STATEMENT SUMMARY</w:t>
            </w:r>
          </w:p>
        </w:tc>
        <w:tc>
          <w:tcPr>
            <w:tcW w:w="7620" w:type="dxa"/>
            <w:vAlign w:val="bottom"/>
            <w:gridSpan w:val="25"/>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30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PROXY AND VOTING INFORMATION</w:t>
            </w:r>
          </w:p>
        </w:tc>
        <w:tc>
          <w:tcPr>
            <w:tcW w:w="7220" w:type="dxa"/>
            <w:vAlign w:val="bottom"/>
            <w:gridSpan w:val="19"/>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7940" w:type="dxa"/>
            <w:vAlign w:val="bottom"/>
            <w:gridSpan w:val="30"/>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Independence and Role of the Independent Lead Director</w:t>
            </w:r>
          </w:p>
        </w:tc>
        <w:tc>
          <w:tcPr>
            <w:tcW w:w="51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Policy Relating to the Election of Directors</w:t>
            </w:r>
          </w:p>
        </w:tc>
        <w:tc>
          <w:tcPr>
            <w:tcW w:w="680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Code of Conduct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Insider Trading Policies and Procedures</w:t>
            </w:r>
          </w:p>
        </w:tc>
        <w:tc>
          <w:tcPr>
            <w:tcW w:w="70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Conflicts of Interest</w:t>
            </w:r>
          </w:p>
        </w:tc>
        <w:tc>
          <w:tcPr>
            <w:tcW w:w="8480" w:type="dxa"/>
            <w:vAlign w:val="bottom"/>
            <w:gridSpan w:val="3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Policy on Hedging and Pledging Company Stock</w:t>
            </w:r>
          </w:p>
        </w:tc>
        <w:tc>
          <w:tcPr>
            <w:tcW w:w="638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Structure of the Board of Directors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Board Meetings and Committees</w:t>
            </w:r>
          </w:p>
        </w:tc>
        <w:tc>
          <w:tcPr>
            <w:tcW w:w="742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Nomination Process for Election of Directors</w:t>
            </w:r>
          </w:p>
        </w:tc>
        <w:tc>
          <w:tcPr>
            <w:tcW w:w="666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Board Service</w:t>
            </w:r>
          </w:p>
        </w:tc>
        <w:tc>
          <w:tcPr>
            <w:tcW w:w="8440" w:type="dxa"/>
            <w:vAlign w:val="bottom"/>
            <w:gridSpan w:val="3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Role of the Board in Risk Oversight</w:t>
            </w:r>
          </w:p>
        </w:tc>
        <w:tc>
          <w:tcPr>
            <w:tcW w:w="732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 Evaluations</w:t>
            </w:r>
          </w:p>
        </w:tc>
        <w:tc>
          <w:tcPr>
            <w:tcW w:w="480" w:type="dxa"/>
            <w:vAlign w:val="bottom"/>
            <w:tcBorders>
              <w:top w:val="single" w:sz="8" w:color="0000EE"/>
            </w:tcBorders>
            <w:gridSpan w:val="3"/>
          </w:tcPr>
          <w:p>
            <w:pPr>
              <w:spacing w:after="0"/>
              <w:rPr>
                <w:sz w:val="17"/>
                <w:szCs w:val="17"/>
                <w:color w:val="auto"/>
              </w:rPr>
            </w:pPr>
          </w:p>
        </w:tc>
        <w:tc>
          <w:tcPr>
            <w:tcW w:w="7940" w:type="dxa"/>
            <w:vAlign w:val="bottom"/>
            <w:gridSpan w:val="3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Policy on Director Diversity</w:t>
            </w:r>
          </w:p>
        </w:tc>
        <w:tc>
          <w:tcPr>
            <w:tcW w:w="7860" w:type="dxa"/>
            <w:vAlign w:val="bottom"/>
            <w:gridSpan w:val="2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Communication with the Board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Environmental Sustainability and Social Matters</w:t>
            </w:r>
          </w:p>
        </w:tc>
        <w:tc>
          <w:tcPr>
            <w:tcW w:w="642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Technology and Cybersecurity Risk Oversight</w:t>
            </w:r>
          </w:p>
        </w:tc>
        <w:tc>
          <w:tcPr>
            <w:tcW w:w="568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APPROVAL OF AMENDMENT TO OUR CERTIFICATE OF INCORPORATION TO DECLASSIFY OUR BOARD OF DIRECTORS</w:t>
            </w:r>
          </w:p>
        </w:tc>
        <w:tc>
          <w:tcPr>
            <w:tcW w:w="6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ITEM NO. 1)</w:t>
            </w:r>
          </w:p>
        </w:tc>
        <w:tc>
          <w:tcPr>
            <w:tcW w:w="8000" w:type="dxa"/>
            <w:vAlign w:val="bottom"/>
            <w:tcBorders>
              <w:top w:val="single" w:sz="8" w:color="0000EE"/>
            </w:tcBorders>
            <w:gridSpan w:val="31"/>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9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ELECTION OF DIRECTORS (PROXY ITEM NO. 2)</w:t>
            </w:r>
          </w:p>
        </w:tc>
        <w:tc>
          <w:tcPr>
            <w:tcW w:w="63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RATIFICATION OF APPOINTMENT OF INDEPENDENT REGISTERED PUBLIC ACCOUNTING FIRM (PROXY ITEM NO. 3)</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4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7260" w:type="dxa"/>
            <w:vAlign w:val="bottom"/>
            <w:tcBorders>
              <w:top w:val="single" w:sz="8" w:color="0000EE"/>
            </w:tcBorders>
            <w:gridSpan w:val="27"/>
          </w:tcPr>
          <w:p>
            <w:pPr>
              <w:spacing w:after="0"/>
              <w:rPr>
                <w:sz w:val="17"/>
                <w:szCs w:val="17"/>
                <w:color w:val="auto"/>
              </w:rPr>
            </w:pPr>
          </w:p>
        </w:tc>
        <w:tc>
          <w:tcPr>
            <w:tcW w:w="6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6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66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20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40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24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40" w:type="dxa"/>
            <w:vAlign w:val="bottom"/>
            <w:tcBorders>
              <w:top w:val="single" w:sz="8" w:color="0000EE"/>
            </w:tcBorders>
            <w:gridSpan w:val="9"/>
          </w:tcPr>
          <w:p>
            <w:pPr>
              <w:spacing w:after="0"/>
              <w:rPr>
                <w:sz w:val="17"/>
                <w:szCs w:val="17"/>
                <w:color w:val="auto"/>
              </w:rPr>
            </w:pPr>
          </w:p>
        </w:tc>
        <w:tc>
          <w:tcPr>
            <w:tcW w:w="7060" w:type="dxa"/>
            <w:vAlign w:val="bottom"/>
            <w:gridSpan w:val="1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7660" w:type="dxa"/>
            <w:vAlign w:val="bottom"/>
            <w:gridSpan w:val="2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at September 30, 2024</w:t>
            </w:r>
          </w:p>
        </w:tc>
        <w:tc>
          <w:tcPr>
            <w:tcW w:w="626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Option Exercises and Stock Vested</w:t>
            </w:r>
          </w:p>
        </w:tc>
        <w:tc>
          <w:tcPr>
            <w:tcW w:w="740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Potential Payments Upon Termination of Employment or Change in Control</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6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 for the Fiscal Year Ended September 30, 2024</w:t>
            </w:r>
          </w:p>
        </w:tc>
        <w:tc>
          <w:tcPr>
            <w:tcW w:w="44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380" w:type="dxa"/>
            <w:vAlign w:val="bottom"/>
            <w:gridSpan w:val="2"/>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CEO PAY RATIO</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STOCKHOLDERS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1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578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Management</w:t>
            </w:r>
          </w:p>
        </w:tc>
        <w:tc>
          <w:tcPr>
            <w:tcW w:w="63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732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380" w:type="dxa"/>
            <w:vAlign w:val="bottom"/>
            <w:tcBorders>
              <w:right w:val="single" w:sz="8" w:color="0000EE"/>
            </w:tcBorders>
            <w:gridSpan w:val="2"/>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38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48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4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Policies and Procedures Governing Related Party Transactions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54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380" w:type="dxa"/>
            <w:vAlign w:val="bottom"/>
            <w:gridSpan w:val="2"/>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800" w:type="dxa"/>
            <w:vAlign w:val="bottom"/>
            <w:gridSpan w:val="2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PAY VERSUS PERFORMANCE</w:t>
            </w:r>
          </w:p>
        </w:tc>
        <w:tc>
          <w:tcPr>
            <w:tcW w:w="7800" w:type="dxa"/>
            <w:vAlign w:val="bottom"/>
            <w:gridSpan w:val="2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724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NON-BINDING ADVISORY VOTE ON EXECUTIVE COMPENSATION (PROXY ITEM NO. 4)</w:t>
            </w:r>
          </w:p>
        </w:tc>
        <w:tc>
          <w:tcPr>
            <w:tcW w:w="2720" w:type="dxa"/>
            <w:vAlign w:val="bottom"/>
            <w:gridSpan w:val="2"/>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92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 TO ADOPT A DIRECTOR ELECTION RESIGNATION GUIDELINE (PROXY ITEM NO. 5)</w:t>
            </w:r>
          </w:p>
        </w:tc>
        <w:tc>
          <w:tcPr>
            <w:tcW w:w="7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9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Proxy Solicitation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Director Nominations and Proposals for the 2026 Annual Meeting</w:t>
            </w:r>
          </w:p>
        </w:tc>
        <w:tc>
          <w:tcPr>
            <w:tcW w:w="392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Form 10-K and Other Filings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Internet Availability of Proxy Materials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3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List of Stockholders</w:t>
            </w:r>
          </w:p>
        </w:tc>
        <w:tc>
          <w:tcPr>
            <w:tcW w:w="1380" w:type="dxa"/>
            <w:vAlign w:val="bottom"/>
            <w:tcBorders>
              <w:top w:val="single" w:sz="8" w:color="0000EE"/>
            </w:tcBorders>
            <w:gridSpan w:val="2"/>
          </w:tcPr>
          <w:p>
            <w:pPr>
              <w:spacing w:after="0"/>
              <w:rPr>
                <w:sz w:val="17"/>
                <w:szCs w:val="17"/>
                <w:color w:val="auto"/>
              </w:rPr>
            </w:pPr>
          </w:p>
        </w:tc>
        <w:tc>
          <w:tcPr>
            <w:tcW w:w="676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Householding</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7"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This summary is not a complete description, and you should read the entire proxy statement carefully before voting.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MEETING</w:t>
      </w:r>
    </w:p>
    <w:p>
      <w:pPr>
        <w:sectPr>
          <w:pgSz w:w="11900" w:h="16838" w:orient="portrait"/>
          <w:cols w:equalWidth="0" w:num="1">
            <w:col w:w="11140"/>
          </w:cols>
          <w:pgMar w:left="320" w:top="482" w:right="43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 on Tuesday, January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www.meetnow.global/MCUWRJJ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on the record date are entitled to one vote per share on each matter to be voted upon at the annual meeting.</w:t>
      </w:r>
    </w:p>
    <w:p>
      <w:pPr>
        <w:spacing w:after="0" w:line="211" w:lineRule="exact"/>
        <w:rPr>
          <w:sz w:val="20"/>
          <w:szCs w:val="20"/>
          <w:color w:val="auto"/>
        </w:rPr>
      </w:pPr>
    </w:p>
    <w:p>
      <w:pPr>
        <w:sectPr>
          <w:pgSz w:w="11900" w:h="16838" w:orient="portrait"/>
          <w:cols w:equalWidth="0" w:num="2">
            <w:col w:w="1320" w:space="560"/>
            <w:col w:w="9260"/>
          </w:cols>
          <w:pgMar w:left="320" w:top="482"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ITEM</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8020" w:type="dxa"/>
            <w:vAlign w:val="bottom"/>
          </w:tcPr>
          <w:p>
            <w:pPr>
              <w:spacing w:after="0"/>
              <w:rPr>
                <w:sz w:val="13"/>
                <w:szCs w:val="13"/>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300" w:type="dxa"/>
            <w:vAlign w:val="bottom"/>
            <w:tcBorders>
              <w:bottom w:val="single" w:sz="8" w:color="auto"/>
            </w:tcBorders>
            <w:vMerge w:val="continue"/>
          </w:tcPr>
          <w:p>
            <w:pPr>
              <w:spacing w:after="0"/>
              <w:rPr>
                <w:sz w:val="15"/>
                <w:szCs w:val="15"/>
                <w:color w:val="auto"/>
              </w:rPr>
            </w:pPr>
          </w:p>
        </w:tc>
        <w:tc>
          <w:tcPr>
            <w:tcW w:w="80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4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Approval of an amendment to the Company’s Certificate of Incorporation to declassify the</w:t>
            </w:r>
          </w:p>
        </w:tc>
        <w:tc>
          <w:tcPr>
            <w:tcW w:w="2020" w:type="dxa"/>
            <w:vAlign w:val="bottom"/>
            <w:gridSpan w:val="2"/>
            <w:shd w:val="clear" w:color="auto" w:fill="CCEEFF"/>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5"/>
              </w:rPr>
              <w:t>For</w:t>
            </w:r>
          </w:p>
        </w:tc>
        <w:tc>
          <w:tcPr>
            <w:tcW w:w="6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1"/>
        </w:trPr>
        <w:tc>
          <w:tcPr>
            <w:tcW w:w="30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Board of Directors</w:t>
            </w:r>
          </w:p>
        </w:tc>
        <w:tc>
          <w:tcPr>
            <w:tcW w:w="16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Election of Two Directors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all nominees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8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80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Ratification of the Appointment of PricewaterhouseCoopers LLP as our Independent Registered</w:t>
            </w:r>
          </w:p>
        </w:tc>
        <w:tc>
          <w:tcPr>
            <w:tcW w:w="2020" w:type="dxa"/>
            <w:vAlign w:val="bottom"/>
            <w:gridSpan w:val="2"/>
            <w:shd w:val="clear" w:color="auto" w:fill="CCEEFF"/>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5"/>
              </w:rPr>
              <w:t>For</w:t>
            </w:r>
          </w:p>
        </w:tc>
        <w:tc>
          <w:tcPr>
            <w:tcW w:w="6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1"/>
        </w:trPr>
        <w:tc>
          <w:tcPr>
            <w:tcW w:w="30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Public Accounting Firm for the fiscal year ending September 30, 2024</w:t>
            </w:r>
          </w:p>
        </w:tc>
        <w:tc>
          <w:tcPr>
            <w:tcW w:w="16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consider and vote, on an advisory basis, for the adoption of a resolution approving the</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5"/>
              </w:rPr>
              <w:t>For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our named executive officers, as such compensation is described under the</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Discussion and Analysis” and “Executive Compensation” sections of this proxy</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statement</w:t>
            </w: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8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 consider and vote on a stockholder proposal to adopt a director election resignation guideline</w:t>
            </w:r>
          </w:p>
        </w:tc>
        <w:tc>
          <w:tcPr>
            <w:tcW w:w="20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Against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Declassification of Board of Directors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a matter of good governance, we are asking our stockholders to approve an amendment to our certification of incorporation that would declassify our Board of Directors over a three-year period without affecting the unexpired terms of directors and resulting in a fully declassified board of directors by the 2027 annual meeting of stockholders. If the proposal is adopted, we intend to file an amendment to our certificate of incorporation during the Annual Meeting immediately after the requisite vote for this Item 1 is obtained so that the Class III directors elected at the Annual Meeting will serve a term of one year ending at the 2026 annual meeting of stockholders. The Board unanimously recommends a vote FOR the amendment of the Company’s certificate of incorporation to declassify the Board of Directors.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of Board of Directors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as of November 7, 2024. At our annual meeting, stockholders will be asked to elect the two director nominees in Class III listed in the table below. The Board unanimously recommends a vote FOR each nominee.</w:t>
      </w:r>
    </w:p>
    <w:p>
      <w:pPr>
        <w:spacing w:after="0" w:line="26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Class III - Directors whose terms expire at the 2025 annual meeting of stockholders and who are nominees for terms expiring at the 2026 annual meeting if the amendment to declassify our board of directors is approved by stockholders at the Annual Meeting and terms expiring at the 2028 annual meeting of the amendment to declassify our board of directors is not approved by stockholders at the Annual Meeting.</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Board Committees</w:t>
            </w:r>
            <w:r>
              <w:rPr>
                <w:rFonts w:ascii="Times New Roman" w:cs="Times New Roman" w:eastAsia="Times New Roman" w:hAnsi="Times New Roman"/>
                <w:sz w:val="21"/>
                <w:szCs w:val="21"/>
                <w:b w:val="1"/>
                <w:bCs w:val="1"/>
                <w:color w:val="auto"/>
                <w:vertAlign w:val="superscript"/>
              </w:rPr>
              <w:t>(1)</w:t>
            </w:r>
          </w:p>
        </w:tc>
      </w:tr>
      <w:tr>
        <w:trPr>
          <w:trHeight w:val="149"/>
        </w:trPr>
        <w:tc>
          <w:tcPr>
            <w:tcW w:w="304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2"/>
                <w:szCs w:val="12"/>
                <w:color w:val="auto"/>
              </w:rPr>
            </w:pPr>
          </w:p>
        </w:tc>
        <w:tc>
          <w:tcPr>
            <w:tcW w:w="4740" w:type="dxa"/>
            <w:vAlign w:val="bottom"/>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Occupation and Experience</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tcPr>
          <w:p>
            <w:pPr>
              <w:spacing w:after="0"/>
              <w:rPr>
                <w:sz w:val="12"/>
                <w:szCs w:val="12"/>
                <w:color w:val="auto"/>
              </w:rPr>
            </w:pPr>
          </w:p>
        </w:tc>
        <w:tc>
          <w:tcPr>
            <w:tcW w:w="13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   CGCC  EC</w:t>
            </w:r>
          </w:p>
        </w:tc>
      </w:tr>
      <w:tr>
        <w:trPr>
          <w:trHeight w:val="250"/>
        </w:trPr>
        <w:tc>
          <w:tcPr>
            <w:tcW w:w="3040" w:type="dxa"/>
            <w:vAlign w:val="bottom"/>
            <w:tcBorders>
              <w:top w:val="single" w:sz="8" w:color="auto"/>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20" w:type="dxa"/>
            <w:vAlign w:val="bottom"/>
            <w:tcBorders>
              <w:top w:val="single" w:sz="8" w:color="ABD8EA"/>
            </w:tcBorders>
            <w:shd w:val="clear" w:color="auto" w:fill="ABD8EA"/>
          </w:tcPr>
          <w:p>
            <w:pPr>
              <w:spacing w:after="0"/>
              <w:rPr>
                <w:sz w:val="21"/>
                <w:szCs w:val="21"/>
                <w:color w:val="auto"/>
              </w:rPr>
            </w:pPr>
          </w:p>
        </w:tc>
        <w:tc>
          <w:tcPr>
            <w:tcW w:w="520" w:type="dxa"/>
            <w:vAlign w:val="bottom"/>
            <w:tcBorders>
              <w:top w:val="single" w:sz="8" w:color="auto"/>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top w:val="single" w:sz="8" w:color="ABD8EA"/>
            </w:tcBorders>
            <w:shd w:val="clear" w:color="auto" w:fill="ABD8EA"/>
          </w:tcPr>
          <w:p>
            <w:pPr>
              <w:spacing w:after="0"/>
              <w:rPr>
                <w:sz w:val="21"/>
                <w:szCs w:val="21"/>
                <w:color w:val="auto"/>
              </w:rPr>
            </w:pPr>
          </w:p>
        </w:tc>
        <w:tc>
          <w:tcPr>
            <w:tcW w:w="4740" w:type="dxa"/>
            <w:vAlign w:val="bottom"/>
            <w:tcBorders>
              <w:top w:val="single" w:sz="8" w:color="auto"/>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President and CEO, Post Holdings, Inc.</w:t>
            </w:r>
          </w:p>
        </w:tc>
        <w:tc>
          <w:tcPr>
            <w:tcW w:w="100" w:type="dxa"/>
            <w:vAlign w:val="bottom"/>
            <w:tcBorders>
              <w:top w:val="single" w:sz="8" w:color="ABD8EA"/>
            </w:tcBorders>
            <w:shd w:val="clear" w:color="auto" w:fill="ABD8EA"/>
          </w:tcPr>
          <w:p>
            <w:pPr>
              <w:spacing w:after="0"/>
              <w:rPr>
                <w:sz w:val="21"/>
                <w:szCs w:val="21"/>
                <w:color w:val="auto"/>
              </w:rPr>
            </w:pPr>
          </w:p>
        </w:tc>
        <w:tc>
          <w:tcPr>
            <w:tcW w:w="980" w:type="dxa"/>
            <w:vAlign w:val="bottom"/>
            <w:tcBorders>
              <w:top w:val="single" w:sz="8" w:color="auto"/>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Borders>
              <w:top w:val="single" w:sz="8" w:color="ABD8EA"/>
            </w:tcBorders>
            <w:shd w:val="clear" w:color="auto" w:fill="ABD8EA"/>
          </w:tcPr>
          <w:p>
            <w:pPr>
              <w:spacing w:after="0"/>
              <w:rPr>
                <w:sz w:val="21"/>
                <w:szCs w:val="21"/>
                <w:color w:val="auto"/>
              </w:rPr>
            </w:pPr>
          </w:p>
        </w:tc>
        <w:tc>
          <w:tcPr>
            <w:tcW w:w="320" w:type="dxa"/>
            <w:vAlign w:val="bottom"/>
            <w:tcBorders>
              <w:top w:val="single" w:sz="8" w:color="auto"/>
            </w:tcBorders>
            <w:shd w:val="clear" w:color="auto" w:fill="ABD8EA"/>
          </w:tcPr>
          <w:p>
            <w:pPr>
              <w:spacing w:after="0"/>
              <w:rPr>
                <w:sz w:val="21"/>
                <w:szCs w:val="21"/>
                <w:color w:val="auto"/>
              </w:rPr>
            </w:pPr>
          </w:p>
        </w:tc>
        <w:tc>
          <w:tcPr>
            <w:tcW w:w="100" w:type="dxa"/>
            <w:vAlign w:val="bottom"/>
            <w:tcBorders>
              <w:top w:val="single" w:sz="8" w:color="ABD8EA"/>
            </w:tcBorders>
            <w:shd w:val="clear" w:color="auto" w:fill="ABD8EA"/>
          </w:tcPr>
          <w:p>
            <w:pPr>
              <w:spacing w:after="0"/>
              <w:rPr>
                <w:sz w:val="21"/>
                <w:szCs w:val="21"/>
                <w:color w:val="auto"/>
              </w:rPr>
            </w:pPr>
          </w:p>
        </w:tc>
        <w:tc>
          <w:tcPr>
            <w:tcW w:w="540" w:type="dxa"/>
            <w:vAlign w:val="bottom"/>
            <w:tcBorders>
              <w:top w:val="single" w:sz="8" w:color="auto"/>
            </w:tcBorders>
            <w:shd w:val="clear" w:color="auto" w:fill="ABD8EA"/>
          </w:tcPr>
          <w:p>
            <w:pPr>
              <w:spacing w:after="0"/>
              <w:rPr>
                <w:sz w:val="21"/>
                <w:szCs w:val="21"/>
                <w:color w:val="auto"/>
              </w:rPr>
            </w:pPr>
          </w:p>
        </w:tc>
        <w:tc>
          <w:tcPr>
            <w:tcW w:w="120" w:type="dxa"/>
            <w:vAlign w:val="bottom"/>
            <w:tcBorders>
              <w:top w:val="single" w:sz="8" w:color="ABD8EA"/>
            </w:tcBorders>
            <w:shd w:val="clear" w:color="auto" w:fill="ABD8EA"/>
          </w:tcPr>
          <w:p>
            <w:pPr>
              <w:spacing w:after="0"/>
              <w:rPr>
                <w:sz w:val="21"/>
                <w:szCs w:val="21"/>
                <w:color w:val="auto"/>
              </w:rPr>
            </w:pPr>
          </w:p>
        </w:tc>
        <w:tc>
          <w:tcPr>
            <w:tcW w:w="220" w:type="dxa"/>
            <w:vAlign w:val="bottom"/>
            <w:tcBorders>
              <w:top w:val="single" w:sz="8" w:color="auto"/>
            </w:tcBorders>
            <w:shd w:val="clear" w:color="auto" w:fill="ABD8EA"/>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EVP, General Counsel and Secretary for Ameren Corporation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00" w:type="dxa"/>
            <w:vAlign w:val="bottom"/>
            <w:gridSpan w:val="5"/>
          </w:tcPr>
          <w:p>
            <w:pPr>
              <w:ind w:left="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 – Audit Committee; CGCC – Corporate Governance and Compensation Committee; EC – Executive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As a matter of good governance, we are asking our stockholders to ratify the selection of PricewaterhouseCoopers LLP as our independent registered public accounting firm for the fiscal year ending September 30, 2025. The Board unanimously recommends a vote FOR ratification of PricewaterhouseCoopers LLP as our independent registered public accounting firm.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required by Section 14A of the Exchange Act, which was added to the Exchange Act by Section 951 of the Dodd-Frank Wall Street Reform and Consumer Protection Act of 2010, we are asking our stockholders to vote to approve or not approve, on a non-binding,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The Board unanimously recommends a vote FOR the approval of the executive compensation of our named executive officers.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 To Adopt a Director Election Resignation Guideline</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August 2024, the Company received a stockholder proposal (the “Stockholder Proposal”) from the North Atlantic States Carpenters Pension Fund (the “NASCP Fund”) for inclusion in the Company’s proxy statement in connection with the Annual Meeting pursuant to Rule 14a-8 of the Securities Exchange Act of 1934, as amended (the “Exchange Act”). The Stockholder Proposal requests that the Board of Directors adopt and stockholders approve a director resignation guideline that requires each incumbent director to tender to the Board of Directors an irrevocable, conditional resignation conditioned on the director’s failure to receive a majority of votes in an uncontested director election. The Board of Directors opposes the Stockholder Proposal as the Board of Directors believes that the automatic effectiveness of the irrevocable resignation is an undue restriction on the Board’s decision-making authority and is inflexible in that it does not take into account the circumstances of the vote and whether any causes of the withhold votes can be remediated by the Board. In response to the Stockholder Proposal, in November 2024 the Board of Directors amended the Company’s Corporate Governance Guidelines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to adopt a director resignation policy that it believes adopts the key features of the Stockholder Proposal but with additional appropriate procedural mechanisms that are in the best interests of the Company’s stockholders. Under the Company’s amended Corporate Governance Guidelines:</w:t>
      </w:r>
    </w:p>
    <w:p>
      <w:pPr>
        <w:spacing w:after="0" w:line="45" w:lineRule="exact"/>
        <w:rPr>
          <w:sz w:val="20"/>
          <w:szCs w:val="20"/>
          <w:color w:val="auto"/>
        </w:rPr>
      </w:pPr>
    </w:p>
    <w:p>
      <w:pPr>
        <w:ind w:left="1080" w:right="4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will submit a resignation promptly following a stockholder meeting where he or she does not receive a majority vote in an uncontested director election;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of the Board of Directors will consider the resignation and recommend to the Board of Directors whether to accept or reject it;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and Board of Directors will consider all factors or other information that they determine relevant in making a determination to accept or reject a director’s resignation;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make its determination within 90 days of the certification of election results;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tenders his or her resignation pursuant to the guidelines will continue to serve during that consideration period, but will not participate in any deliberations or votes about his/her or other directors’ resignations.</w:t>
      </w:r>
    </w:p>
    <w:p>
      <w:pPr>
        <w:spacing w:after="0" w:line="162"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Based on the adoption of the amended Corporate Governance Guidelines that include the director resignation policy, the Board unanimously recommends a vote AGAINST the Stockholder Proposal.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AND VOTING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(the “Board of Directors” or the “Board”) of BellRing Brands, Inc. (“BellRing,” the “Company” or “we”) is soliciting proxies for the 2025 annual meeting of stockholders. This proxy statement, the form of proxy and the Company’s 2024 annual report to stockholders will be available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beginning on December 17, 2024. On or about December 17, 2024, a Notice Regarding the Availability of Proxy Materials (the “Notice”) will be mailed to stockholders of record at the close of business on December 2, 2024, the record date for the 2025 annual meeting of stockholders. On the record date, there were 128,975,315 shares of our common stock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receive printed proxy materials?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December 17, 2024,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attend the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decided that the annual meeting will be a completely virtual meeting of stockholders, which will be conducted exclusively online via a live audio-only webcast.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are a stockholder, you can attend the annual meeting online, vote and submit your questions prior to and during the meeting by visiting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Please follow the login and registration instructions outlined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will need a 15-digit control number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annual meeting.</w:t>
      </w:r>
    </w:p>
    <w:p>
      <w:pPr>
        <w:spacing w:after="0" w:line="174"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Anyone may enter the annual meeting as a guest in listen-only mode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but only stockholders of record and beneficial owners of shares who have registered for the meeting may participate in the annual meeting.</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online meeting will begin promptly at 9:00 a.m., Central Time on Tuesday, January 28, 2025. We encourage you to access the meeting prior to the start time to provide ample time for logging in. Rules of conduct for the annual meeting will be posted on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am a stockholder of record. How do I register for the annual meeting?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(i.e., you hold your shares through the Company’s transfer agent, Computershare), then you do not need to register to attend the annual meeting virtually. To attend the meeting, please visit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to log in on the day of the meeting. To access the meeting, you will need to enter the 15-digit control number printed in the shaded bar on your proxy card or Notice.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am a beneficial owner of shares. How do I register for the annual meeting?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(i.e., you hold your shares through an intermediary, such as in a stock brokerage account or by a bank or other nominee), then you must register in advance in order to attend the annual meeting virtually. To register, you must submit a legal proxy that reflects your proof of proxy power. The legal proxy must reflect your BellRing Brands, Inc. share holdings, along with your name. Please forward a copy of the legal proxy, along with your email address, to Computershare. Requests for registration should be directed to Computershare either by email to legalproxy@computershare.com (forwarding the email from your broker or attaching an image of your legal proxy) or by mail to Computershare, BellRing Brands Legal Proxy, P.O. Box 43001, Providence, RI 02940-3001.</w:t>
      </w:r>
    </w:p>
    <w:p>
      <w:pPr>
        <w:spacing w:after="0" w:line="18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Requests for registration must be labeled as “Legal Proxy” and be received by Computershare no later than Monday, January 27, 2025. </w:t>
      </w:r>
      <w:r>
        <w:rPr>
          <w:rFonts w:ascii="Times New Roman" w:cs="Times New Roman" w:eastAsia="Times New Roman" w:hAnsi="Times New Roman"/>
          <w:sz w:val="18"/>
          <w:szCs w:val="18"/>
          <w:color w:val="auto"/>
        </w:rPr>
        <w:t xml:space="preserve">You will receive a confirmation of your registration by email (or by mail, if no email address is provided) after Computershare receives your registration materials. To attend the meeting, please visit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to log in on the day of the meeting. To access the meeting, you will need to enter the 15-digit control number provided in the confirmation sent by Computershare.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 virtually?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have difficulties logging into the annual meeting virtually, you can utilize the technical resources available on the log-in webpage for the virtual annual meeting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or contact 888-724-2416 (locally) or +1 781-575-2748 (internationally) for technical assistance.</w:t>
      </w:r>
    </w:p>
    <w:p>
      <w:pPr>
        <w:spacing w:after="0" w:line="176"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If there are any technical issues in convening or hosting the annual meeting, we will promptly post information to our newsroom website, </w:t>
      </w:r>
      <w:r>
        <w:rPr>
          <w:rFonts w:ascii="Times New Roman" w:cs="Times New Roman" w:eastAsia="Times New Roman" w:hAnsi="Times New Roman"/>
          <w:sz w:val="17"/>
          <w:szCs w:val="17"/>
          <w:i w:val="1"/>
          <w:iCs w:val="1"/>
          <w:color w:val="auto"/>
        </w:rPr>
        <w:t>www.bellring.com/news</w:t>
      </w:r>
      <w:r>
        <w:rPr>
          <w:rFonts w:ascii="Times New Roman" w:cs="Times New Roman" w:eastAsia="Times New Roman" w:hAnsi="Times New Roman"/>
          <w:sz w:val="17"/>
          <w:szCs w:val="17"/>
          <w:color w:val="auto"/>
        </w:rPr>
        <w:t>, under the Corporate and Financial Releases heading, including information on when the meeting will be reconvened.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being asked to vote on at the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asking our stockholders to consider the following items:</w:t>
      </w:r>
    </w:p>
    <w:p>
      <w:pPr>
        <w:spacing w:after="0" w:line="131"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certificate of incorporation to declassify our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nominees to our Board of Directors named in this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September 30, 2025;</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stockholder proposal to adopt a director election resignation guideline;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introduced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owned at the close of business on the record date. These shares include:</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directly in your name with our transfer agent, for which you are considered the “stockholder of record”;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for you as the beneficial owner through a broker, bank or other nominee in “street name”;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your account in the BellRing Brands, Inc. 401(k) Plan.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the “stockholder of record” with respect to those shares. We have sent a Notice or proxy materials directly to you.</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can vote by proxy or online at the virtual annual meeting. If you intend to vote at the virtual annual meeting, please refer to “Why is the Company holding a virtual annual meeting? How can I attend?” on page 4, “I am a stockholder of record. How do I register for the annual meeting?” on page 4 and “I am a beneficial owner of shares. How do I register for the annual meeting?” on page 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Registered Shares:</w:t>
      </w:r>
    </w:p>
    <w:p>
      <w:pPr>
        <w:spacing w:after="0" w:line="131" w:lineRule="exact"/>
        <w:rPr>
          <w:sz w:val="20"/>
          <w:szCs w:val="20"/>
          <w:color w:val="auto"/>
        </w:rPr>
      </w:pPr>
    </w:p>
    <w:p>
      <w:pPr>
        <w:ind w:left="1080" w:right="500" w:hanging="424"/>
        <w:spacing w:after="0" w:line="28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You can vote by calling 800-652-VOTE (800-652-8683) within the United States, United States Territories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and following the instructions provided. Telephone voting is available 24 hours a day, 7 days a week.</w:t>
      </w:r>
    </w:p>
    <w:p>
      <w:pPr>
        <w:spacing w:after="0" w:line="63"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Internet</w:t>
      </w:r>
      <w:r>
        <w:rPr>
          <w:rFonts w:ascii="Times New Roman" w:cs="Times New Roman" w:eastAsia="Times New Roman" w:hAnsi="Times New Roman"/>
          <w:sz w:val="18"/>
          <w:szCs w:val="18"/>
          <w:color w:val="auto"/>
        </w:rPr>
        <w:t>: You can vote via the Internet by accessing</w:t>
      </w:r>
      <w:r>
        <w:rPr>
          <w:rFonts w:ascii="Times New Roman" w:cs="Times New Roman" w:eastAsia="Times New Roman" w:hAnsi="Times New Roman"/>
          <w:sz w:val="18"/>
          <w:szCs w:val="18"/>
          <w:i w:val="1"/>
          <w:iCs w:val="1"/>
          <w:color w:val="auto"/>
        </w:rPr>
        <w:t xml:space="preserve"> www.envisionreports.com/BRBR </w:t>
      </w:r>
      <w:r>
        <w:rPr>
          <w:rFonts w:ascii="Times New Roman" w:cs="Times New Roman" w:eastAsia="Times New Roman" w:hAnsi="Times New Roman"/>
          <w:sz w:val="18"/>
          <w:szCs w:val="18"/>
          <w:color w:val="auto"/>
        </w:rPr>
        <w:t>and following the instructions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voting is available 24 hours a day, 7 days a week.</w:t>
      </w:r>
    </w:p>
    <w:p>
      <w:pPr>
        <w:spacing w:after="0" w:line="63"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If you choose to vote by mail (if you request printed copies of the proxy materials by mail), simply mark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sign it and return it in the postage-paid envelope provided.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Street Name Shares</w:t>
      </w:r>
      <w:r>
        <w:rPr>
          <w:rFonts w:ascii="Times New Roman" w:cs="Times New Roman" w:eastAsia="Times New Roman" w:hAnsi="Times New Roman"/>
          <w:sz w:val="18"/>
          <w:szCs w:val="18"/>
          <w:color w:val="auto"/>
        </w:rPr>
        <w:t>: If you hold shares through a broker, bank or other nominee, you will receive materials from that person explaining how to vote.</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submit your proxy using any of these methods, Paul A. Rode or Craig L. Rosenthal, who have been appointed by our Board of Directors as the proxies for our stockholders for this meeting, with full power of substitution, will vote your shares in the manner you indicate. You may specify whether your shares should be voted for all, some or none of the nominees to our Board of Directors and for or against any other proposals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properly introduced at the annual meeting. If you vote by telephone or Internet and choose to vote with the recommendations of our Board of Directors, or if you vote by mail, sign your proxy card and do not indicate specific choices, your shares will be voted “FOR” the amendment to our certificate of incorporation to declassify our Board of Directors; “FOR” the election of the two nominees to our Board of Directors; “FOR” ratification of the appointment of our independent registered public accounting firm; “FOR” the advisory approval of executive compensation; and “AGAINST” the stockholder proposal to adopt a director election resignation guideline.</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wish to give a proxy to someone other than Paul A. Rode or Craig L. Rosenthal, you may strike out their names on the proxy card and write in the name of any other person, sign the proxy and deliver it to the person whose name has been substituted.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authorize someone else to attend the annual meeting or vote for me?</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Stockholders of record can authorize someone other than the individual(s) named on the proxy card or Notice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meeting or vote on their behalf by crossing out the individual(s) named on the proxy card or Notice and inserting the name, address and email address of the authorized person. Request registration of an authorized representative for the annual meeting by forwarding an image of your updated proxy card or Notice to Computershare either by email to legalproxy@computershare.com or by mail to Computershare, BellRing Brands Legal Proxy, P.O. Box 43001, Providence, RI 02940-3001.</w:t>
      </w:r>
    </w:p>
    <w:p>
      <w:pPr>
        <w:spacing w:after="0" w:line="18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Beneficial owners of shares can authorize someone other than the individual(s) named on the legal proxy obtained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brokers or banks to attend the virtual meeting or vote on their behalf by providing a written authorization to the authorized individual along with a legal proxy. Contact information for the authorized individual, including name, address and email address, is required for registration of the authorized representative. Requests for registration of an authorized representative for the annual meeting, along with the contact information specified above and an image of your legal proxy, should be directed to Computershare either by email to legalproxy@computershare.com or by mail to Computershare, BellRing Brands Legal Proxy, P.O. Box 43001, Providence, RI 02940-3001.</w:t>
      </w:r>
    </w:p>
    <w:p>
      <w:pPr>
        <w:spacing w:after="0" w:line="28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Requests for registration of an authorized representative must be labeled as “Legal Proxy” and be received by Computershare no later than Monday, January 27, 2025.</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change or revoke my proxy?</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You may change or revoke your proxy by voting again on the Internet or by telephone after submitting your original vote,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submitting a written notice of revocation to BellRing Brands, Inc., c/o Corporate Secretary, 2503 S. Hanley Road, St. Louis, Missouri 63144 before the annual meeting, by requesting and returning a proxy card by mail with a later date, or by attending the annual meeting and voting in person. For all methods of voting, the last vote cast will supersede all previous votes.</w:t>
      </w:r>
    </w:p>
    <w:p>
      <w:pPr>
        <w:spacing w:after="0" w:line="180"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You may change or revoke your voting instructions by following the specific directions provided to you by your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in person?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will not be able to vote in person at the annual meeting as the annual meeting will be exclusively virtual this year. However, you will be able to vote online at the virtual annual meeting. See “How can I vote my shares?” on page 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hold shares in street name, how can I vote my shares?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my shares in the BellRing Brands, Inc. 401(k) Plan?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11:59 p.m., Eastern Time, on January 23, 2025, the trustee will vote your shares in the same proportion as the shares that are voted by the other participants in the plan. The trustee also will vote unallocated shares of our common stock held in the plan in direct proportion to the voting of allocated shares in the plan for which voting instructions have been received unless doing so would be inconsistent with the trustee’s duties.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“quorum” is required for the annual meeting?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amendment to our certificate of incorporation to declassify our Board of Directors must be approved by a majority of the issued and outstanding shares of our common stock. The election of each director nominee, the ratification of the appointment of PricewaterhouseCoopers LLP as the Company’s independent registered public accounting firm for fiscal year 2025, the advisory approval of the executive compensation of our named executive officers, and the vote on the stockholder proposal to adopt a director election resignation guideline must each be approved by a majority the total voting power of the shares represented at the annual meeting in person or by proxy and entitled to vote on the matter.</w:t>
      </w:r>
    </w:p>
    <w:p>
      <w:pPr>
        <w:spacing w:after="0" w:line="187"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Although the approval of the Company’s executive compensation is advisory and not binding on the Company, the Board of Directors and the Corporate Governance and Compensation Committee, which is responsible for administering the Company’s executive compensation programs, are interested in the opinions expressed by our stockholders in their vote on this proposal and will consider the outcome of the vote when making future compensation decisions for our named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the voting results determined?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authority to vote certain shares held in street name on particular proposals under the rules of the New York Stock 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the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any other business expected at the meeting?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Exchange Act, your proxies will act on such matter in their discretion.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ask questions pertinent to annual meeting matters?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Stockholders may submit questions either before the annual meeting (from Tuesday, January 7, 2025 until Tuesday, January 21, 2025) or during the annual meeting. If you wish to submit a question either before or during the annual meeting, please log into </w:t>
      </w:r>
      <w:r>
        <w:rPr>
          <w:rFonts w:ascii="Times New Roman" w:cs="Times New Roman" w:eastAsia="Times New Roman" w:hAnsi="Times New Roman"/>
          <w:sz w:val="18"/>
          <w:szCs w:val="18"/>
          <w:i w:val="1"/>
          <w:iCs w:val="1"/>
          <w:color w:val="auto"/>
        </w:rPr>
        <w:t>www.meetnow.global/MCUWRJJ</w:t>
      </w:r>
      <w:r>
        <w:rPr>
          <w:rFonts w:ascii="Times New Roman" w:cs="Times New Roman" w:eastAsia="Times New Roman" w:hAnsi="Times New Roman"/>
          <w:sz w:val="18"/>
          <w:szCs w:val="18"/>
          <w:color w:val="auto"/>
        </w:rPr>
        <w:t>, enter your 15-digit control number and follow the instructions to submit a question. Questions pertinent to meeting matters will be answered during the meeting after voting is completed, subject to time constraints. Questions or comments that relate to proposals that are not properly before the annual meeting, relate to matters that are not proper subject for action by stockholders, are irrelevant to the Company’s business, relate to material non-public information of the Company, relate to personal concerns or grievances, are derogatory to individuals or that are otherwise in bad taste, are in substance repetitious of a question or comment made by another stockholder, or are not otherwise suitable for the conduct of the annual meeting as determined in the sole discretion of the Company, will not be answered. In addition, questions may be grouped by topic by our management with a representative question read aloud and answered.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adjourned or postponed?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annual meeting is adjourned or postponed, your proxy will still be valid and may be voted at the adjourned or postponed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intend to announce preliminary voting results at the annual meeting. We will publish the final results in a Current Report on Form 8-K, which we expect to file with the SEC on or before February 3, 2025. You also can go to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to access the Form 8-K. Information on our website does not constitute part of this proxy statement.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Role of the Independent Lead Director</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 Mr. Vitale, our Chairman of the Board, are independent directors as defined in the NYSE listing standards and the SEC rules and regulations.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Chairman of the Board, the Chief Executive Officer, the other members of our Board and management of our Company. Mr. Stein has extensive knowledge of BellRing’s strategic objectives, the industry in which BellRing operates and the areas of strategic importance to BellRing. Our Chief Executive Officer confers regularly with Mr. Stein on a variety of topics, including updates on the Company’s business and other strategic matters. Mr. Stein also consults regularly with the Company’s independent compensation consultant, Aon, and works closely with Aon to develop proposals for the design of our executive compensation programs, which are then reviewed by our Corporate Governance and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Relating to the Election of Directors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Elections of the Board of Directors are conducted in accordance with the Company’s Certificate of Incorporation, Bylaws and the laws of the state of Delaware and provide that directors are to be elected at a meeting of the Company’s stockholders by a plurality of the votes cast. Under the Company’s amended Corporate Governance Guidelines adopted in November 2024, if in any uncontested election of directors, a director nominee has a greater number of votes “withheld” from his or her election than votes cast “for” his or her election, such director nominee shall promptly tender his or her resignation for consideration by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Corporate Governance and Compensation Committee. A vote will be considered “withheld” from a director nominee if a stockholder withholds authority to vote for such director nominee in any proxy granted by such stockholder in accordance with instructions contained in the proxy statement or accompanying proxy card circulated for the meeting of stockholders at which the election of directors is to be held. The Corporate Governance and Compensation Committee will then promptly evaluate all factors or other information that it determines relevant including, without limitation, (i) the underlying reason for the vote result, if known, (ii) the incumbent director nominee’s contributions to the Company during his or her tenure, and (iii) the director’s qualifications.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any applicable legal or regulatory requirements, the Corporate Governance and Compensation Committee shall, within ninety (90) days from the date of the stockholder vote, decide whether to accept or reject the resignation. A full explanation of the Corporate Governance and Compensation Committee’s decision will be promptly publicly disclosed in a periodic or current report filed with the SEC. Any director who tenders his or her resignation pursuant to this director resignation policy will not participate in the deliberations and decisions made with respect to his or her resignation or the resignation of any other director nominee who similarly tendered his or her resignation by virtue of the vote at the same annual meeting of the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global insider trading policy governing the purchase, sale, and/or other dispositions of our securities by directors, officers and employees. The insider trading policy requires compliance with all applicable laws, rules and regulations governing the offer and sale of securities and prohibits directors, officers and employees from engaging in transactions in our securities while in possession of material nonpublic information. The insider trading policy establishes quarterly blackout periods during which trading in our securities is prohibited. These blackout periods begin on the sixth business day of the last month of each calendar quarter and end on the start of the second business day following the issuance of the Company’s press release of its financial results for the reporting period that includes such calendar quarter. In addition, the insider trading policy requires senior officers and key employees to obtain pre-approval of any transactions in our securities from our Chief Compliance Officer. A copy of our global insider trading policy is filed as Exhibit 19.1 to our Annual Report on Form 10-K for the year ended September 30,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our code of conduct, each director and officer has an obligation not to engage in any transaction that could be deemed a conflict of interest.</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w:t>
      </w:r>
    </w:p>
    <w:p>
      <w:pPr>
        <w:spacing w:after="0" w:line="183"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Hedging and Pledging Company Stock</w:t>
      </w:r>
    </w:p>
    <w:p>
      <w:pPr>
        <w:spacing w:after="0" w:line="121" w:lineRule="exact"/>
        <w:rPr>
          <w:sz w:val="20"/>
          <w:szCs w:val="20"/>
          <w:color w:val="auto"/>
        </w:rPr>
      </w:pPr>
    </w:p>
    <w:p>
      <w:pPr>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w:t>
      </w:r>
    </w:p>
    <w:p>
      <w:pPr>
        <w:spacing w:after="0" w:line="1" w:lineRule="exact"/>
        <w:rPr>
          <w:sz w:val="20"/>
          <w:szCs w:val="20"/>
          <w:color w:val="auto"/>
        </w:rPr>
      </w:pPr>
    </w:p>
    <w:p>
      <w:pPr>
        <w:ind w:left="120" w:right="400" w:hanging="4"/>
        <w:spacing w:after="0" w:line="255"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and call options or other hedging transactions (including, but not limited to, prepaid variable forward contracts, equity swaps, collars or exchange funds) and (ii) pledging, hypothecating or otherwise encumbering the Company’s common stock or other equity securities as collateral for indebtedness, including holding such securities in a margin account.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is currently comprised of seven members. Our Certificate of Incorporation and Bylaws provide for a classified Board of Directors that is divided into three classes as equal in size as possible. The classes have three-year terms, and the term of one class expires each year in rotation at that year’s annual meeting of stockholders. At the Annual Meeting, stockholders will be asked to vote on an amendment to our Certificate of Incorporation that would declassify the Board of Directors over a three-year phase-in period commencing with the Annual Meeting. If the amendment to our Certificate of Incorporation to declassify our Board of Directors is approved by stockholders at the Annual Meeting, beginning at the Annual Meeting, directors whose current terms expire at the annual meetings of stockholders in 2025, 2026, 2027 and every year thereafter will be elected for one year terms ending at the following year’s annual meeting or until a director’s earlier death, resignation or removal and until his or her successor is elected and qualified.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size of the Board of Directors can be changed by a vote of its members, and in the event of any increase or decrease in the number of directors, the directors in each class shall be adjusted as necessary so that all classes shall be as equal in number as reasonably possible for so long as the Board of Directors remains classified. However, no reduction in the number of directors shall affect the term of office of any incumbent director. Vacancies on the Board of Directors may be filled by a majority vote of the remaining directors, and the Board of Directors determines the class to which any director shall be assigned for so long as the Board of Directors remains classified.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2024. During fiscal year 2024, each director attended at least 75% of the total number of meetings of the Board of Directors and the committee(s) on which he or she served. Because our annual meeting of stockholders is purely routine in nature, our Corporate Governance Guidelines do not require our directors to attend the annual meeting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of stockholders and, accordingly, two directors attended the 2024 annual meeting of stockholders. As of December 2, 2024, the Board of Directors and committee members were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60" w:type="dxa"/>
            <w:vAlign w:val="bottom"/>
            <w:vMerge w:val="restart"/>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Board</w:t>
            </w:r>
          </w:p>
        </w:tc>
        <w:tc>
          <w:tcPr>
            <w:tcW w:w="600" w:type="dxa"/>
            <w:vAlign w:val="bottom"/>
            <w:vMerge w:val="restart"/>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620" w:type="dxa"/>
            <w:vAlign w:val="bottom"/>
            <w:vMerge w:val="restart"/>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0" w:type="dxa"/>
            <w:vAlign w:val="bottom"/>
          </w:tcPr>
          <w:p>
            <w:pPr>
              <w:spacing w:after="0"/>
              <w:rPr>
                <w:sz w:val="1"/>
                <w:szCs w:val="1"/>
                <w:color w:val="auto"/>
              </w:rPr>
            </w:pPr>
          </w:p>
        </w:tc>
      </w:tr>
      <w:tr>
        <w:trPr>
          <w:trHeight w:val="173"/>
        </w:trPr>
        <w:tc>
          <w:tcPr>
            <w:tcW w:w="63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Meetings held in fiscal year 2024</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79"/>
        </w:trPr>
        <w:tc>
          <w:tcPr>
            <w:tcW w:w="68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Chair            ● — Member</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 compliance with legal and regulatory requirements, codes of conduct and ethics programs.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www.bellring.com.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28 of this proxy statement.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Compensation Committee</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Corporate Governance and Compensation Committee (a) determines the compensation level of our Section 16 officers, (b) reviews management’s Compensation Discussion and Analysis relating to our executive compensation programs and approves the inclusion of the same in our proxy statement and/or annual report to stockholders, (c) issues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Corporate Governance and Compensation Committee also (i) reviews and revises, as necessary, our Corporate Governance Guidelines, (ii) considers and evaluates transactions between the Company and any director, officer or affiliate of the Company, (iii) identifies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individuals qualified to become members of our Board of Directors, and (iv) makes determinations with respect to resignations tendered by directors pursuant to the Company’s director resignation policy in its Amended Corporate Governance Guidelines. The Corporate Governance and Compensation Committee has the authority to delegate any of its responsibilities to subcommittees as it deems appropriate, provided that any such subcommittees are composed entirely of independent directors.</w:t>
      </w:r>
    </w:p>
    <w:p>
      <w:pPr>
        <w:spacing w:after="0" w:line="180"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Nomination Process for Election of Directors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Chairman of the Board and from other directors. The Committee may retain an executive search firm to identify potential candidates. All candidates must meet the requirements specified in our Bylaws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are then presented to the Board of Directors for consideration and approval. Our Chairman or the chairman of the Corporate Governance and Compensation Committee may extend an invitation to join the Board of Directors.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Bylaws, should be submitted in writing to our corporate secretary. Stockholders wishing to suggest a candidate for director nomination for the 2026 annual meeting of stockholders should mail their suggestions to our principal executive offices at BellRing Brands, Inc., 2503 S. Hanley Road, St. Louis, Missouri 63144, Attn: Corporate Secretary. Suggestions must be received by the corporate secretary no earlier than September 30, 2025 and no later than October 30,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Board Service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do not prohibit our directors from serving on boards or committees of other organizations, except that no Audit Committee member may serve on more than two other public company audit committees absent a judgment by the Board of Directors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to being the chairman of our Board of Directors, Mr. Vitale serves as a member of the Board of Directors of our former parent company, the publicly traded Post Holdings, Inc. (“Post”), as well as the board of directors of the publicly traded company Energizer Holdings, Inc. We believe that Mr. Vitale has the capacity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0" w:lineRule="auto"/>
        <w:rPr>
          <w:sz w:val="20"/>
          <w:szCs w:val="20"/>
          <w:color w:val="auto"/>
        </w:rPr>
      </w:pPr>
      <w:r>
        <w:rPr>
          <w:rFonts w:ascii="Times New Roman" w:cs="Times New Roman" w:eastAsia="Times New Roman" w:hAnsi="Times New Roman"/>
          <w:sz w:val="17"/>
          <w:szCs w:val="17"/>
          <w:color w:val="auto"/>
        </w:rPr>
        <w:t>serve in these various roles. From 2015 until BellRing’s initial public offering in October 2019, our business comprised the active nutrition business of Post. As part of his role as President, CEO and a director of Post since 2014, Mr. Vitale has overseen the business that now comprises BellRing for its entire existence and Mr. Vitale has served as chairman of BellRing since November 2024 and, before that, served as executive chairman of BellRing since its formation shortly before our October 2019 initial public offering. Since he began serving as BellRing’s executive chairman in 2019,</w:t>
      </w:r>
    </w:p>
    <w:p>
      <w:pPr>
        <w:spacing w:after="0" w:line="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Vitale’s service on the boards of Post and Energizer Holdings, Inc. has not impacted the discharge of his duties as executive chairman or chairman of BellRing. As such, our Board of Directors does not believe that Mr. Vitale’s other board commitments have interfered or will interfere with Mr. Vitale’s discharge of his duties as chairman of our Board of Directors.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that our compensation policies and practices encourage excessive and unnecessary risk- 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 term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Board leadership structure consists of:</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Chairman of the Board and Chief Executive Officer roles;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Lead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non-management directors except for the Chairman of the Board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 and Corporate Governance and Compensation Committees;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practices that promote independent leadership and oversight.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Chairman and Chief Executive Officer</w:t>
      </w:r>
    </w:p>
    <w:p>
      <w:pPr>
        <w:spacing w:after="0" w:line="121" w:lineRule="exact"/>
        <w:rPr>
          <w:sz w:val="20"/>
          <w:szCs w:val="20"/>
          <w:color w:val="auto"/>
        </w:rPr>
      </w:pPr>
    </w:p>
    <w:p>
      <w:pPr>
        <w:jc w:val="both"/>
        <w:ind w:left="120" w:right="160" w:firstLine="440"/>
        <w:spacing w:after="0" w:line="270" w:lineRule="auto"/>
        <w:rPr>
          <w:sz w:val="20"/>
          <w:szCs w:val="20"/>
          <w:color w:val="auto"/>
        </w:rPr>
      </w:pPr>
      <w:r>
        <w:rPr>
          <w:rFonts w:ascii="Times New Roman" w:cs="Times New Roman" w:eastAsia="Times New Roman" w:hAnsi="Times New Roman"/>
          <w:sz w:val="17"/>
          <w:szCs w:val="17"/>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Chairman of the Board and Darcy Horn Davenport serves as our Chief Executive Officer. Ms. Davenport is also a member of the Board. The Board believes that this leadership structure, which separates the Chairman and Chief Executive Officer roles, is optimal at this time because it allows</w:t>
      </w:r>
    </w:p>
    <w:p>
      <w:pPr>
        <w:spacing w:after="0" w:line="3"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 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Lead Director and Independent Directors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Lead Director, five of our seven Board members are independent.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Evaluations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Director Diversity</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Although the Corporate Governance and Compensation Committee does not have a written policy regarding diversity in identifying new director candidates, the Committee takes diversity into account in its search for the best available candidates to serve on the Board of Directors. The Committee believes that maintaining a diverse membership with varying backgrounds, skills, expertise and other differentiating personal characteristics promotes inclusiveness,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Three of our seven directors are women, Ms. Davenport, also our Chief Executive Officer, Ms. Kuperman Johnson and Ms. Nwamu, and Ms. Nwamu is African American.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Stockholders and other parties interested in communicating directly with our Board of Directors, an individual director or with the non-management directors as a group may do so by writing to the individual director or group, c/o BellRing Brands, Inc., 2503 S. Hanley Road, St. Louis, Missouri 63144, Attn: Corporate Secretary or via email to investor.relations@bellringbrands.com. The Board of Directors has directed our corporate secretary to forward stockholder communications to our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Sustainability and Social Matters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issues for our stakeholders and are committed to incorporating ESG principles into our business strategies and organizational culture. The Audit Committee of our Board of Directors provides direction with respect to the evolving priorities of ESG topics and initiatives and receives quarterly reports and updates on relevant ESG topics and progress against our initiatives. Our Executive Sustainability Steering committee, which is comprised of senior leaders within our organization, provides guidance on goals and strategies and makes recommendations on disclosure and reporting guidelines. Our Sustainability Operations Committee, which is comprised of technical experts within key business functions, meets regularly to implement programs and track progress on key objectives.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Based on the materiality assessment we conducted in 2022, details of which can be found in last year’s annual Impact Report, we identified six strategic areas in which to focus our ESG efforts. This materiality assessment has had a concrete impact on the actions that we’ve taken over the past two years and continues to guide our approach to developing our strategy.</w:t>
      </w:r>
    </w:p>
    <w:p>
      <w:pPr>
        <w:spacing w:after="0" w:line="176"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Because a majority of these areas are within our supply chain, we have focused our efforts on establishing a standardized data collection process to better understand performance, identify areas for improvement, and build initiatives and partnerships with suppliers and co-manufacturers. This work was based on data obtained through a third-party supported materiality assessment, Scope 1 &amp; 2 greenhouse gas (GHG) emissions inventories and a Scope 3 GHG emissions screen. Based on the results of these processes, we set several ambitious sustainability goals: (i) transition to 100% renewable electricity in our direct operations (Scope 1 and 2) by 2025, (ii) achieve Net Zero emissions across our direct operations (Scope 1 and 2) by 2030,</w:t>
      </w:r>
    </w:p>
    <w:p>
      <w:pPr>
        <w:spacing w:after="0" w:line="3" w:lineRule="exact"/>
        <w:rPr>
          <w:sz w:val="20"/>
          <w:szCs w:val="20"/>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all cardboard and paper packaging for our products is made from sustainable forestry certified materials or recycled content by 2025,</w:t>
      </w:r>
    </w:p>
    <w:p>
      <w:pPr>
        <w:spacing w:after="0" w:line="9" w:lineRule="exact"/>
        <w:rPr>
          <w:rFonts w:ascii="Times New Roman" w:cs="Times New Roman" w:eastAsia="Times New Roman" w:hAnsi="Times New Roman"/>
          <w:sz w:val="18"/>
          <w:szCs w:val="18"/>
          <w:color w:val="auto"/>
        </w:rPr>
      </w:pPr>
    </w:p>
    <w:p>
      <w:pPr>
        <w:ind w:left="120" w:right="340" w:hanging="4"/>
        <w:spacing w:after="0" w:line="260"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30% of our plastic packaging from renewable or recycled materials by 2027 and (v) for 100% of our product packaging to be recyclable, reusable or compostable by 2030.</w:t>
      </w:r>
    </w:p>
    <w:p>
      <w:pPr>
        <w:spacing w:after="0" w:line="18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This past year we conducted a Taskforce on Climate-related Financial Disclosures (TCFD) analysis to better assess climate-related risks embedded in our business. This exercise included both directly operated facilities, as well as much of our supply network including co-manufacturers, supplier facilities, and warehouses. The results of this exercise indicate a low potential for climate impact to our facilities in the near term from either physical or transitional risks.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remain committed to improved transparency around our programs and practices that impact ESG. In the first calendar quarter of 2025, we will publish our annual Impact Report. Our Impact Report will be available on our website at </w:t>
      </w:r>
      <w:r>
        <w:rPr>
          <w:rFonts w:ascii="Times New Roman" w:cs="Times New Roman" w:eastAsia="Times New Roman" w:hAnsi="Times New Roman"/>
          <w:sz w:val="18"/>
          <w:szCs w:val="18"/>
          <w:i w:val="1"/>
          <w:iCs w:val="1"/>
          <w:color w:val="auto"/>
        </w:rPr>
        <w:t>www.bellring.com/impact</w:t>
      </w:r>
      <w:r>
        <w:rPr>
          <w:rFonts w:ascii="Times New Roman" w:cs="Times New Roman" w:eastAsia="Times New Roman" w:hAnsi="Times New Roman"/>
          <w:sz w:val="18"/>
          <w:szCs w:val="18"/>
          <w:color w:val="auto"/>
        </w:rPr>
        <w:t>. Information on our website, including our Impact Report, does not constitute part of (and shall not be deemed incorporated by reference into) this proxy statement or any other document we file with the SEC.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Empowering Our People</w:t>
      </w:r>
    </w:p>
    <w:p>
      <w:pPr>
        <w:spacing w:after="0" w:line="133"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are a people-first culture. Our people are critical to our success and we prioritize providing a safe, rewarding and respectful workplace where our people are provided with opportunities to pursue career paths based on capabilities, performance and mindset. We adhere to our Code of Conduct, which sets forth a commitment to our stakeholders, including our employees, to operate with integrity and mutual respect. For the sixth year running, Premier Nutrition Company, LLC, our primary operating subsidiary (“Premier Nutrition”) has been named in the top 12 best small and medium workplaces in our category in the U.S. by </w:t>
      </w:r>
      <w:r>
        <w:rPr>
          <w:rFonts w:ascii="Times New Roman" w:cs="Times New Roman" w:eastAsia="Times New Roman" w:hAnsi="Times New Roman"/>
          <w:sz w:val="18"/>
          <w:szCs w:val="18"/>
          <w:i w:val="1"/>
          <w:iCs w:val="1"/>
          <w:color w:val="auto"/>
        </w:rPr>
        <w:t>Fortune Magazine</w:t>
      </w:r>
      <w:r>
        <w:rPr>
          <w:rFonts w:ascii="Times New Roman" w:cs="Times New Roman" w:eastAsia="Times New Roman" w:hAnsi="Times New Roman"/>
          <w:sz w:val="18"/>
          <w:szCs w:val="18"/>
          <w:color w:val="auto"/>
        </w:rPr>
        <w:t xml:space="preserve"> and Great Places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Institute. And, in fiscal 2024, Premier Nutrition placed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on the list.</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Diversity, Equity, Inclusion and Belonging</w:t>
      </w:r>
    </w:p>
    <w:p>
      <w:pPr>
        <w:spacing w:after="0" w:line="11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a diverse, equitable and inclusive culture for our employees and are dedicated to creating an inclusive environment that reflects the communities in which we live and work that creates a feeling of belonging. We have implemented initiatives to track and improve our performance in these areas, including having a CEO-sponsored, employee-led team that establishes strategies and initiatives towards this objective, tracks our progress and shares successes and key learnings. We also provide interactive anti-harassment and diversity training for all new supervisory employees taught by outside experts. Our Board of Directors receives periodic updates regarding our diversity, equity, inclusion and belonging efforts.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Community Involvement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passionate about supporting the communities in which we live and work and use our time, talent and resources to give back. We support local charities with our time during “all company” give back days each year and supporting our employees with paid volunteer time off. We also support our employees who are passionate about a cause by matching their donations one-to-one. Additionally, we make donations to philanthropic organizations that align with our purpose, culture and community. In 2024, the </w:t>
      </w:r>
      <w:r>
        <w:rPr>
          <w:rFonts w:ascii="Times New Roman" w:cs="Times New Roman" w:eastAsia="Times New Roman" w:hAnsi="Times New Roman"/>
          <w:sz w:val="18"/>
          <w:szCs w:val="18"/>
          <w:i w:val="1"/>
          <w:iCs w:val="1"/>
          <w:color w:val="auto"/>
        </w:rPr>
        <w:t>San Francisco Business Times</w:t>
      </w:r>
      <w:r>
        <w:rPr>
          <w:rFonts w:ascii="Times New Roman" w:cs="Times New Roman" w:eastAsia="Times New Roman" w:hAnsi="Times New Roman"/>
          <w:sz w:val="18"/>
          <w:szCs w:val="18"/>
          <w:color w:val="auto"/>
        </w:rPr>
        <w:t xml:space="preserve"> again identified Premier Nutrition as one of the Top 100 Bay Area Corporate Philanthropists as it has for the last several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 Oversight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(“IT”) systems for management of our business, including sourcing and supply chain, inventory management, receivables and payables, human capital management, finance and reporting tools and other business processes. The reliability and capacity of these systems is an important part of our ability to efficiently and effectively manage our business. With this in mind, we maintain a comprehensive information technology, data governance and cybersecurity program that leverages people, processes and technology to support our information technology systems and detect, identify, prevent, defend against and mitigate information technology and data security risks. Our cybersecurity program is aligned with the National Institute of Standards and Technology Cybersecurity Framework. This framework encompasses key processes, policies and controls to ensure protection, detection, identification, response and recovery capabilities across our organization. Safeguards included in this framework include, but are not limited to:</w:t>
      </w:r>
    </w:p>
    <w:p>
      <w:pPr>
        <w:spacing w:after="0" w:line="97" w:lineRule="exact"/>
        <w:rPr>
          <w:sz w:val="20"/>
          <w:szCs w:val="20"/>
          <w:color w:val="auto"/>
        </w:rPr>
      </w:pPr>
    </w:p>
    <w:p>
      <w:pPr>
        <w:ind w:left="1080" w:right="3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targeted controls to protect our environment, including antivirus, antimalware, multi- factor authentication, long and regularly changed passwords, email security and firewalls to protect our assets and our ability to maintain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detect and response (MDR), security information and event management (SIEM) and vulnerability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processes that incorporate third party response retainers;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assessments to our cybersecurity program using external parties including cyber maturity assessments &amp; penetration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Service Organization Controls (SOC) reports for any supplier housing financial or mission critical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scoring of our critical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system backups and associated disaster recovery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addressing cybersecurity and data privacy challenges.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While we are not able to prevent every potential technology failure, cybersecurity risk or third-party service interruption, we utilize business continuity plans to assist us in anticipating and mitigating failures. Through continuous assessment of our framework, we make improvements to mitigate new IT and cybersecurity risks as they arise. Our Audit Committee is responsible for overseeing matters relating to our IT and cybersecurity practices and initiatives. We also have designated specific roles who oversee IT and cybersecurity matters for the Company.</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82"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APPROVAL OF AMENDMENT TO OUR CERTIFICATE OF INCORPORATION TO</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DECLASSIFY OUR BOARD OF DIRECTORS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ITEM NO. 1)</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After careful consideration, on November 7, 2024, our Board of Directors unanimously approved and declared advisable, and resolved to recommend to our stockholders that they approve the adoption of, an amendment to our Certificate of Incorporation (the “Certificate of Incorporation”) to declassify the Board of Directors over a three-year phase-in period commencing at the Annual Meeting. Declassifying the Board of Directors will allow our stockholders to vote on the election of our entire Board of Directors each year, rather than on a staggered basis as with our current classified board structure.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approved by our stockholders, our Certificate of Incorporation will be amended during the Annual Meeting to provide for the annual election of all directors as their current terms expire at each of the 2025, 2026 and 2027 annual meetings of stockholders. If our stockholders do not approve this amendment to our Certificate of Incorporation to declassify our Board of Directors, our board will remain classified, and the two director nominees whose terms expire at the Annual meeting will, if elected, serve a three-year term ending at the 2028 annual meeting of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Classified Board Structure</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Under Section 7 of our Certificate of Incorporation and Section 1 of Article II of our bylaws, the Board of Directors is currently separated into three classes nearly equal in size. Absent the earlier resignation or removal of a director, each year the stockholders are asked to elect the directors comprising one of the classes for a three-year term. The term of the current Class III directors is set to expire at the Annual Meeting. The term of the Class I directors is set to expire in 2026 and the term of the Class II directors is set to expire in 2027. Under the current classified board structure, stockholders may only elect approximately one-third of the Board of Directors each year.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Declassifying the Board of Directors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considered a number of factors that favor continuing with a classified board structure, as well as a number of factors that favor adopting a declassified board structure. Ultimately, after weighing the various factors, the Board of Directors determined that it would be in the best interests of the Company and our stockholders to amend our Certificate of Incorporation to declassify the board.</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 classified board structure has a number of advantages. It allows a majority of the board to remain in place from year to year, which promotes continuity, stability, and encourages the board to plan for long-term goals. Further, at any one time, approximately two-thirds of the elected board has experience with the business and operations of the company it manages.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also recognizes that a classified board structure can be viewed as diminishing a board’s accountability to stockholders, because such a structure does not enable stockholders to express a view on each director’s performance by means of an annual vote. Annual voting allows stockholders to express their views on the individual performance of each director and on the entire board of directors more frequently than with a classified board structure, which provides stockholders a more active role in shaping and implementing corporate governance policies. Moreover, many institutional investors believe that the election of directors is the primary means for stockholders to influence corporate governance policies and to hold management accountable for implementing those policies. Public companies with classified boards also face increased scrutiny from proxy advisory firms.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After weighing the factors above, among other things, the Board of Directors determined that retaining a classified board structure is no longer in the best interests of the Company and its stockholders. For this reason,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approved and declared advisable the amendment to our Certification of Incorporation set forth in the Certificate of Amendment attached hereto as Appendix A (the “Declassification Certificate of Amendment”) and recommends that our stockholders vote to approve the adoption of such amendment.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stockholder approval of the amendment of the Certification of Incorporation to declassify the Board of Directors and filing of the certificate of amendment with the Secretary of State of the State of Delaware, an amendment to our bylaws set forth in Appendix B will simultaneously become effective.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stockholders approve the adoption of the Declassification Certificate of Amendment pursuant to this proposal, such amendment will become effective upon the filing of the Declassification Certificate of Amendment with the Secretary of State of the State of Delaware. We intend to file the Declassification Certificate of Amendment to effect the amendment to our Certificate of Incorporation during the Annual Meeting immediately after the requisite vote for this Item 1 is obtained. Upon filing the Declassification Certificate of Amendment with the Secretary of State of the State of Delaware, an amendment to our bylaws approved by our Board of Directors and set forth in Appendix B will simultaneously become effective to make conforming changes to the bylaws to reflect the declassification of the Board of Directors.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then be declassified over a three-year phase-in period as the terms of directors in each current class expire over the next three years commencing at the Annual Meeting so that every director will stand for election at the 2027 annual meeting of stockholders (and thereafter) for one-year terms.</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Approval of the adoption of the amendments to the Certificate of Incorporation to eliminate the classified Board of Directors requires the affirmative vote of the holders of a majority of the shares of common stock issued and outstanding as of the record date.</w:t>
      </w:r>
    </w:p>
    <w:p>
      <w:pPr>
        <w:spacing w:after="0" w:line="158"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amendment to our certificate of incorporation to declassify our Board of Directors.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ITEM NO. 2)</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terms of two current directors (Mr. Vitale and Ms. Nwamu) will expire at the 2025 annual meeting of stockholders. Our Board of Directors has nominated Mr. Vitale and Ms. Nwamu for election to the Board of Directors for either (i) a one-year term that will expire in 2026 if stockholders approve the amendment to our Certificate of Incorporation to declassify our Board of Directors (Proxy Item No. 1), or (ii) a three-year term that will expire in 2028 if stockholders do not approve the amendment to our Certificate of Incorporation to declassify our Board of Directors (Proxy Item No. 1). The Board of Directors is not aware that either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Mr. Vitale is currently a director and was originally elected to the Board in September 2019 prior to the closing of our initial public offering (our “IPO”). Ms. Nwamu is currently a director and was originally appointed to the Board effective in May 2021.</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persons named on the proxy card intend to vote the proxy representing your shares for the election of each of Mr. Vitale and Ms. Nwamu,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284" w:lineRule="exact"/>
        <w:rPr>
          <w:sz w:val="20"/>
          <w:szCs w:val="20"/>
          <w:color w:val="auto"/>
        </w:rPr>
      </w:pPr>
    </w:p>
    <w:p>
      <w:pPr>
        <w:ind w:left="120" w:right="3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Information about the Current Directors and Nominees for Election to the Board of Directors </w:t>
      </w:r>
      <w:r>
        <w:rPr>
          <w:rFonts w:ascii="Times New Roman" w:cs="Times New Roman" w:eastAsia="Times New Roman" w:hAnsi="Times New Roman"/>
          <w:sz w:val="18"/>
          <w:szCs w:val="18"/>
          <w:b w:val="1"/>
          <w:bCs w:val="1"/>
          <w:i w:val="1"/>
          <w:iCs w:val="1"/>
          <w:color w:val="auto"/>
        </w:rPr>
        <w:t>Board Composition</w:t>
      </w: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79" w:lineRule="exact"/>
        <w:rPr>
          <w:sz w:val="20"/>
          <w:szCs w:val="20"/>
          <w:color w:val="auto"/>
        </w:rPr>
      </w:pPr>
    </w:p>
    <w:p>
      <w:pPr>
        <w:ind w:left="1080" w:right="340" w:hanging="424"/>
        <w:spacing w:after="0" w:line="290"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 Experience</w:t>
      </w:r>
      <w:r>
        <w:rPr>
          <w:rFonts w:ascii="Times New Roman" w:cs="Times New Roman" w:eastAsia="Times New Roman" w:hAnsi="Times New Roman"/>
          <w:sz w:val="17"/>
          <w:szCs w:val="17"/>
          <w:color w:val="auto"/>
        </w:rPr>
        <w:t>. We believe that directors with experience in significant leadership positions over an extended period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possess 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60" w:lineRule="exact"/>
        <w:rPr>
          <w:rFonts w:ascii="Times New Roman" w:cs="Times New Roman" w:eastAsia="Times New Roman" w:hAnsi="Times New Roman"/>
          <w:sz w:val="17"/>
          <w:szCs w:val="17"/>
          <w:color w:val="auto"/>
        </w:rPr>
      </w:pPr>
    </w:p>
    <w:p>
      <w:pPr>
        <w:jc w:val="both"/>
        <w:ind w:left="1080" w:right="200" w:hanging="424"/>
        <w:spacing w:after="0" w:line="267"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or Accounting Acumen. </w:t>
      </w:r>
      <w:r>
        <w:rPr>
          <w:rFonts w:ascii="Times New Roman" w:cs="Times New Roman" w:eastAsia="Times New Roman" w:hAnsi="Times New Roman"/>
          <w:sz w:val="18"/>
          <w:szCs w:val="18"/>
          <w:color w:val="auto"/>
        </w:rPr>
        <w:t>We believe that an understanding of finance and financial reporting processes enables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and understand the impact of business decisions on our financial statements and capital structure. In addition, accurate financial reporting and robust auditing are critical to our ongoing success.</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w:t>
      </w:r>
      <w:r>
        <w:rPr>
          <w:rFonts w:ascii="Times New Roman" w:cs="Times New Roman" w:eastAsia="Times New Roman" w:hAnsi="Times New Roman"/>
          <w:sz w:val="18"/>
          <w:szCs w:val="18"/>
          <w:color w:val="auto"/>
        </w:rPr>
        <w:t>We seek directors with experience as executives or directors or in other leadership positions in industries relevant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including consumer packaged goods, branded products, retail or consumer product manufacturing.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080" w:right="500" w:hanging="424"/>
        <w:spacing w:after="0" w:line="26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Experience. </w:t>
      </w:r>
      <w:r>
        <w:rPr>
          <w:rFonts w:ascii="Times New Roman" w:cs="Times New Roman" w:eastAsia="Times New Roman" w:hAnsi="Times New Roman"/>
          <w:sz w:val="18"/>
          <w:szCs w:val="18"/>
          <w:color w:val="auto"/>
        </w:rPr>
        <w:t>We believe that directors who are current or former executives with direct operational responsibilities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valuable practical insight to help to develop, implement and assess our operating plan and business strategy. Operational experience includes experience in areas such as marketing, supply chain, sustainability and commodity management.</w:t>
      </w:r>
    </w:p>
    <w:p>
      <w:pPr>
        <w:spacing w:after="0" w:line="78"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Experience. </w:t>
      </w:r>
      <w:r>
        <w:rPr>
          <w:rFonts w:ascii="Times New Roman" w:cs="Times New Roman" w:eastAsia="Times New Roman" w:hAnsi="Times New Roman"/>
          <w:sz w:val="18"/>
          <w:szCs w:val="18"/>
          <w:color w:val="auto"/>
        </w:rPr>
        <w:t>Directors with experience as executives or directors of other publicly traded companies generally are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17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furnished with respect to each nominee for election as a director and each continuing director. The ages of the directors are as of December 17,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Matrix</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matrix provides information regarding each nominee for election as a director and each continuing director, including certain types of experiences and skills that the Board of Directors has determined are important and certain diversity demographics. The matrix does not encompass all the experiences and skills of our directors, and the fact that a particular experience or skill is not listed does not mean that a director does not possess it.</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Conway</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Davenport</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Erickson</w:t>
            </w:r>
          </w:p>
        </w:tc>
        <w:tc>
          <w:tcPr>
            <w:tcW w:w="4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Kuperman</w:t>
            </w:r>
          </w:p>
        </w:tc>
        <w:tc>
          <w:tcPr>
            <w:tcW w:w="46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Nwamu</w:t>
            </w:r>
          </w:p>
        </w:tc>
        <w:tc>
          <w:tcPr>
            <w:tcW w:w="46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Stein</w:t>
            </w:r>
          </w:p>
        </w:tc>
        <w:tc>
          <w:tcPr>
            <w:tcW w:w="460" w:type="dxa"/>
            <w:vAlign w:val="bottom"/>
          </w:tcPr>
          <w:p>
            <w:pPr>
              <w:spacing w:after="0"/>
              <w:rPr>
                <w:sz w:val="13"/>
                <w:szCs w:val="13"/>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Vitale</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Johnson</w:t>
            </w: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Experiences and Skills</w:t>
            </w:r>
          </w:p>
        </w:tc>
        <w:tc>
          <w:tcPr>
            <w:tcW w:w="9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Leadership Experience</w:t>
            </w:r>
          </w:p>
        </w:tc>
        <w:tc>
          <w:tcPr>
            <w:tcW w:w="1920" w:type="dxa"/>
            <w:vAlign w:val="bottom"/>
            <w:gridSpan w:val="3"/>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or Accounting Acumen</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Industry Experience</w:t>
            </w:r>
          </w:p>
        </w:tc>
        <w:tc>
          <w:tcPr>
            <w:tcW w:w="1920" w:type="dxa"/>
            <w:vAlign w:val="bottom"/>
            <w:gridSpan w:val="3"/>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Operational Experience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Company Experience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Race/Ethnicity</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Black/African American</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Caucasian/White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Gender</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Female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w:t>
      </w:r>
    </w:p>
    <w:p>
      <w:pPr>
        <w:spacing w:after="0" w:line="117" w:lineRule="exact"/>
        <w:rPr>
          <w:sz w:val="20"/>
          <w:szCs w:val="20"/>
          <w:color w:val="auto"/>
        </w:rPr>
      </w:pPr>
    </w:p>
    <w:p>
      <w:pPr>
        <w:ind w:left="120" w:right="3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V. VITALE </w:t>
      </w:r>
      <w:r>
        <w:rPr>
          <w:rFonts w:ascii="Times New Roman" w:cs="Times New Roman" w:eastAsia="Times New Roman" w:hAnsi="Times New Roman"/>
          <w:sz w:val="18"/>
          <w:szCs w:val="18"/>
          <w:color w:val="auto"/>
        </w:rPr>
        <w:t>has served as our Chairman since November 2024 and, before that, served as our Executive Chairman since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Mr. Vitale has been the President and Chief Executive Officer of Post, a member of Post’s board of directors, since November 2014 and is a member of the board of directors of 8th Avenue Food &amp; Provisions, Inc., a majority-owned business of Post. Previously, Mr. Vitale served as Chief Financial Officer of Post from October 2011 until November 2014. Mr. Vitale has served on the board of directors of Energizer Holdings, Inc., a publicly traded manufacturer and distributor of primary batteries, portable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has experience in significant leadership positions, an extensive understanding of finance and financial reporting processes, experience in leadership roles in industries relevant to our business, including consumer packaged goods, retail and consumer product manufacturing, experience in mergers and acquisitions, experience as an executive with direct operational responsibilities and experience as an executive and as a director of other publicly traded companies. Age 58.</w:t>
      </w:r>
    </w:p>
    <w:p>
      <w:pPr>
        <w:spacing w:after="0" w:line="18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CHONDA J. NWAMU </w:t>
      </w:r>
      <w:r>
        <w:rPr>
          <w:rFonts w:ascii="Times New Roman" w:cs="Times New Roman" w:eastAsia="Times New Roman" w:hAnsi="Times New Roman"/>
          <w:sz w:val="18"/>
          <w:szCs w:val="18"/>
          <w:color w:val="auto"/>
        </w:rPr>
        <w:t>has served as a member of our Board of Directors since May 2021. Ms. Nwamu is Executive Vice President,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Secretary for Ameren Corporation, a public utility holding company, since August 2019, and is a director of its subsidiaries, Ameren Services, Ameren Missouri and Ameren Transmission Company of Illinois. From September 2016 to August 2019, Ms. Nwamu served as Vice President and Deputy General Counsel of Ameren Services. Ms. Nwamu was managing counsel and senior director at Pacific Gas and Electric Company, a California-based public utility, from June 2014 to June 2016 and regulatory counsel there from September 2000 until May 2014. Prior to joining Pacific Gas and Electric, Ms. Nwamu was in private practice at Hoyle, Morris &amp; Kerr LLP where she specialized in complex commercial litigation. Ms. Nwamu has extensive experience in legal, regulatory and compliance matters. Age 53.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Service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Expire in 2026</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DARCY HORN DAVENPORT </w:t>
      </w:r>
      <w:r>
        <w:rPr>
          <w:rFonts w:ascii="Times New Roman" w:cs="Times New Roman" w:eastAsia="Times New Roman" w:hAnsi="Times New Roman"/>
          <w:sz w:val="18"/>
          <w:szCs w:val="18"/>
          <w:color w:val="auto"/>
        </w:rPr>
        <w:t>has served as our President and Chief Executive Officer since September 2019 and as a member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October 2019. Prior to our IPO,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51.</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ELLIOT H. STEIN, JR. </w:t>
      </w:r>
      <w:r>
        <w:rPr>
          <w:rFonts w:ascii="Times New Roman" w:cs="Times New Roman" w:eastAsia="Times New Roman" w:hAnsi="Times New Roman"/>
          <w:sz w:val="18"/>
          <w:szCs w:val="18"/>
          <w:color w:val="auto"/>
        </w:rPr>
        <w:t>has served as a member of our Board of Directors since October 2019. Mr. Stein has been chairman of Acertas,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Senturion Forecasting, LLC, two privately owned data analytics firms, since 2013. In addition, Mr. Stein has been a director of Midcap Financial Investment Corporation, a publicly traded closed-end, externally managed, non-diversified management investment company, since 2004, and a director of two publicly traded diversified, closed-end management investment companies: Midcap Financial Investment Corporation, successor in interest to Apollo Senior Floating Rate Fund, Inc., since 2011, and Apollo Tactical Income Fund Inc., since 2013. He also previously served as a director of various private companies in the media, manufacturing, retail and finance industries. Mr. Stein has experience in significant leadership positions, an extensive understanding of financial and financial reporting processes and experience as a director of other publicly traded companies. Age 75.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 Terms Expire in 2027</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SHAWN W. CONWAY </w:t>
      </w:r>
      <w:r>
        <w:rPr>
          <w:rFonts w:ascii="Times New Roman" w:cs="Times New Roman" w:eastAsia="Times New Roman" w:hAnsi="Times New Roman"/>
          <w:sz w:val="18"/>
          <w:szCs w:val="18"/>
          <w:color w:val="auto"/>
        </w:rPr>
        <w:t>has served as a member of our Board of Directors since October 2023. Mr. Conway is Chief Executive Officer for 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Michelle Wine Estates, a privately owned company and the largest winery in the Pacific Northwest, since March 2023. Prior thereto, Mr. Conway served as Chief Executive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Officer of Peet’s Coffee, Inc., an original craft coffee and tea company, from January 2020 to April 2022. Mr. Conway also served as Chief Operating Officer of Peet’s Coffee, Inc. from November 2012 to December 2019 and Chief Supply Chain Officer of Peet’s Coffee, Inc. from January 2010 to November 2012. Prior to joining Pete’s Coffee, Inc., Mr. Conway served as Senior Vice President of Operations at SKYY Spirits LLC from April 2005 to January 2010 and Vice President – Finance and Technology at SKYY Spirits, LLC from 2002 to 2005. Since August 2022, Mr. Conway has served on the Board of Directors of SAMBAZON, an acronym for Sustainable Management of the Brazilian Amazon, a leading supplier of certified fair trade and organic Acai. Mr. Conway previously served as Chairman of the Board of Directors of Peet’s China Inc. from 2017 to 2022; Intelligentsia Coffee Inc. from 2015 to 2022 (as Chairman from 2020 to 2022); Stumptown Coffee Inc. from 2015 to 2022 (as Chairman from 2020 to 2022); and Mighty Leaf Tea Inc. as Chairman from 2014 to 2017. Mr. Conway has experience in significant leadership positions, operations, supply chain and finance in high-growth, premium-branded specialty food and beverage, and consumer packaged goods companies. Age 59</w:t>
      </w:r>
    </w:p>
    <w:p>
      <w:pPr>
        <w:spacing w:after="0" w:line="184"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THOMAS P. ERICKSON </w:t>
      </w:r>
      <w:r>
        <w:rPr>
          <w:rFonts w:ascii="Times New Roman" w:cs="Times New Roman" w:eastAsia="Times New Roman" w:hAnsi="Times New Roman"/>
          <w:sz w:val="18"/>
          <w:szCs w:val="18"/>
          <w:color w:val="auto"/>
        </w:rPr>
        <w:t>has served as a member of our Board of Directors since October 2019. Mr. Erickson has been the managing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40 years of public accounting experience and has previously been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69.</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JENNIFER KUPERMAN JOHNSON </w:t>
      </w:r>
      <w:r>
        <w:rPr>
          <w:rFonts w:ascii="Times New Roman" w:cs="Times New Roman" w:eastAsia="Times New Roman" w:hAnsi="Times New Roman"/>
          <w:sz w:val="18"/>
          <w:szCs w:val="18"/>
          <w:color w:val="auto"/>
        </w:rPr>
        <w:t>has served as a member of our Board of Directors since October 2019. Ms. Kuperman Johnson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Corporate Affairs Officer at Chime Financial, Inc. since 2024 and, prior thereto, she served as the Senior Vice President of Corporate Affairs at Chime since September 2022. Prior to Chime, Ms. Kuperman Johnson was head of international corporate affairs at Alibaba Group Holding Limited, a multinational conglomerate holding company specializing in eCommerce, retail, internet and technology, from April 2016 to January 2021 and served as vice president, international corporate affairs at Alibaba Group Holding Limited from August 2014 to April 2016. Prior to joining Alibaba Group Holding Limited, Ms. Kuperman Johnson was senior vice president of corporate brand and reputation at Visa Inc., a global payments technology company, from April 2013 to August 2014 and chief of staff, office of the chairman and chief executive officer at Visa Inc. from August 2010 to April 2013. Ms. Kuperman Johnson also served as head of global corporate communications and citizenship at Visa Inc. from August 2008 to July 2010 and head of employee and client communication at Visa Inc. from August 2004 to June 2008. Ms. Kuperman Johnson has served on the board of directors of Post Holdings, Inc. since May 2021 and on the board of Post Holdings Partnering Corporation, a publicly traded affiliate of Post that was a SPAC formed for the purpose of effecting a partnering transaction with one or more businesses, from May 2021 to June 2023. She has also served on the board of directors to Kyriba Corp., a privately held cloud treasury and finance solutions company, since August 2021. Ms. Kuperman Johnson has experience in significant leadership positions and extensive international experience. Age 51.</w:t>
      </w:r>
    </w:p>
    <w:p>
      <w:pPr>
        <w:spacing w:after="0" w:line="187" w:lineRule="exact"/>
        <w:rPr>
          <w:sz w:val="20"/>
          <w:szCs w:val="20"/>
          <w:color w:val="auto"/>
        </w:rPr>
      </w:pPr>
    </w:p>
    <w:p>
      <w:pPr>
        <w:jc w:val="cente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of Mr. Vitale and Ms. Nwamu for election to the Board of Directors at the Annual Meeting.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ITEM NO. 3)</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selected PricewaterhouseCoopers LLP as our independent registered public accounting firm for the fiscal year ending September 30, 2025,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that we expect to be billed for audit services during the fiscal year ended September 30, 2024 and for other services during that fiscal year, and the fees billed for audit services during the fiscal year ended September 30, 2023 and for other services during that fiscal year.</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3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9"/>
        </w:trPr>
        <w:tc>
          <w:tcPr>
            <w:tcW w:w="6020" w:type="dxa"/>
            <w:vAlign w:val="bottom"/>
          </w:tcPr>
          <w:p>
            <w:pPr>
              <w:spacing w:after="0"/>
              <w:rPr>
                <w:sz w:val="12"/>
                <w:szCs w:val="12"/>
                <w:color w:val="auto"/>
              </w:rPr>
            </w:pPr>
          </w:p>
        </w:tc>
        <w:tc>
          <w:tcPr>
            <w:tcW w:w="1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r>
      <w:tr>
        <w:trPr>
          <w:trHeight w:val="283"/>
        </w:trPr>
        <w:tc>
          <w:tcPr>
            <w:tcW w:w="602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$1,158,505</w:t>
            </w:r>
          </w:p>
        </w:tc>
        <w:tc>
          <w:tcPr>
            <w:tcW w:w="500" w:type="dxa"/>
            <w:vAlign w:val="bottom"/>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$1,124,762</w:t>
            </w:r>
          </w:p>
        </w:tc>
      </w:tr>
      <w:tr>
        <w:trPr>
          <w:trHeight w:val="33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83"/>
        </w:trPr>
        <w:tc>
          <w:tcPr>
            <w:tcW w:w="602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38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$2,000</w:t>
            </w:r>
          </w:p>
        </w:tc>
        <w:tc>
          <w:tcPr>
            <w:tcW w:w="5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9"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primarily to the audit and reviews of our financial statements, comfort letter consents and reviews of SEC registration statements.</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for assurance and related services performed by PricewaterhouseCoopers LLP that are reasonably related to the performance of the audit or review of our financial statements.</w:t>
      </w: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consulting and compliance services and preparation of tax returns in jurisdictions outside of the United States.</w:t>
      </w:r>
    </w:p>
    <w:p>
      <w:pPr>
        <w:spacing w:after="0" w:line="9"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any fees for services rendered by PricewaterhouseCoopers LLP which are not included in any of the above categories. The other fees consist of licensing fees paid for accounting research software.</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2024.</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was staffed primarily by full-time, permanent employees of PricewaterhouseCoopers LLP.</w:t>
      </w: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ratification of the appointment of</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PricewaterhouseCoopers LLP as our independent registered public accounting firm.</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320" w:top="482"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188"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audited financial statements for the fiscal year ended September 30, 2024,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176"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of Directors that the audited consolidated financial statements for the fiscal year ended September 30, 2024 be included in our Annual Report on Form 10-K filed with the SEC for that year.</w:t>
      </w:r>
    </w:p>
    <w:p>
      <w:pPr>
        <w:spacing w:after="0" w:line="14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Thomas P. Erickson,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Shawn W. Conway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Chonda J. Nwamu</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82"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(the “CD&amp;A”) describes our fiscal year 2024 executive compensation structure. This CD&amp;A is intended to be read in conjunction with the tables beginning on page 47, which provide detailed compensation information for our following named executive officers (the “named executive officers” or the “NEOs”):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84"/>
        </w:trPr>
        <w:tc>
          <w:tcPr>
            <w:tcW w:w="39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33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r>
              <w:rPr>
                <w:rFonts w:ascii="Times New Roman" w:cs="Times New Roman" w:eastAsia="Times New Roman" w:hAnsi="Times New Roman"/>
                <w:sz w:val="26"/>
                <w:szCs w:val="26"/>
                <w:color w:val="auto"/>
                <w:vertAlign w:val="superscript"/>
              </w:rPr>
              <w:t>(1)</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Chief Growth Officer — Premier Nutrition Company</w:t>
            </w:r>
          </w:p>
        </w:tc>
      </w:tr>
      <w:tr>
        <w:trPr>
          <w:trHeight w:val="54"/>
        </w:trPr>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60" w:type="dxa"/>
            <w:vAlign w:val="bottom"/>
          </w:tcPr>
          <w:p>
            <w:pPr>
              <w:spacing w:after="0"/>
              <w:rPr>
                <w:sz w:val="4"/>
                <w:szCs w:val="4"/>
                <w:color w:val="auto"/>
              </w:rPr>
            </w:pP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Officer, Chief Compliance Officer and Secretary</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Operations — Premier Nutrition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30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V. Vitale, our Chairman of the Board of Directors, and Darcy Horn Davenport, our President and Chief Executive Officer, served as co-principal executive officers of the Company from October 1, 2023 through November 6,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Opportunity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executive compensation structure consists of three primary components: base salary, annual bonus (our Senior Management Bonus Program) and long-term incentives (equity awards). A fourth element of our compensation structure consists of traditional benefits programs (e.g., limited perquisites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140335</wp:posOffset>
            </wp:positionV>
            <wp:extent cx="4766310" cy="10801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631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Company Highlights for Fiscal Year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view the Company’s performance in two primary ways:</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to stockholders over time, both on an absolute basis and relative to similar companies.</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and powders.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During fiscal 2024, we achieved a number of strategic and financial accomplishments that we believe will benefit the Company and our stockholders alike in the coming years.</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on our financial commitments despite significant inflationary pressures and capacity constraints.</w:t>
      </w:r>
    </w:p>
    <w:p>
      <w:pPr>
        <w:spacing w:after="0" w:line="130"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22"/>
        </w:numPr>
        <w:rPr>
          <w:rFonts w:ascii="Arial" w:cs="Arial" w:eastAsia="Arial" w:hAnsi="Arial"/>
          <w:sz w:val="13"/>
          <w:szCs w:val="13"/>
          <w:color w:val="auto"/>
        </w:rPr>
      </w:pPr>
      <w:r>
        <w:rPr>
          <w:rFonts w:ascii="Times New Roman" w:cs="Times New Roman" w:eastAsia="Times New Roman" w:hAnsi="Times New Roman"/>
          <w:sz w:val="18"/>
          <w:szCs w:val="18"/>
          <w:color w:val="auto"/>
        </w:rPr>
        <w:t>In November 2023, the Company announced expected fiscal 2024 net sales of between $1.83 and $1.91 billion and Adjusted EBITDA of between $360 and $390 million. The Company increased its expected net sales and Adjusted EBITDA each quarter of fiscal 2024.</w:t>
      </w:r>
    </w:p>
    <w:p>
      <w:pPr>
        <w:spacing w:after="0" w:line="81" w:lineRule="exact"/>
        <w:rPr>
          <w:rFonts w:ascii="Arial" w:cs="Arial" w:eastAsia="Arial" w:hAnsi="Arial"/>
          <w:sz w:val="13"/>
          <w:szCs w:val="13"/>
          <w:color w:val="auto"/>
        </w:rPr>
      </w:pPr>
    </w:p>
    <w:p>
      <w:pPr>
        <w:jc w:val="both"/>
        <w:ind w:left="1540" w:right="120" w:hanging="439"/>
        <w:spacing w:after="0" w:line="266" w:lineRule="auto"/>
        <w:tabs>
          <w:tab w:leader="none" w:pos="1540" w:val="left"/>
        </w:tabs>
        <w:numPr>
          <w:ilvl w:val="1"/>
          <w:numId w:val="22"/>
        </w:numPr>
        <w:rPr>
          <w:rFonts w:ascii="Arial" w:cs="Arial" w:eastAsia="Arial" w:hAnsi="Arial"/>
          <w:sz w:val="13"/>
          <w:szCs w:val="13"/>
          <w:color w:val="auto"/>
        </w:rPr>
      </w:pPr>
      <w:r>
        <w:rPr>
          <w:rFonts w:ascii="Times New Roman" w:cs="Times New Roman" w:eastAsia="Times New Roman" w:hAnsi="Times New Roman"/>
          <w:sz w:val="18"/>
          <w:szCs w:val="18"/>
          <w:color w:val="auto"/>
        </w:rPr>
        <w:t>Ultimately, the Company delivered $1.9962 billion of Net Sales in fiscal 2024, up 19.8% from fiscal 2023 and approximately 4.5% above the high end of its original guidance and $440.2 million of Adjusted EBITDA, up 30.1% from fiscal 2023 and approximately 12.8% above the high end of its original guidance.</w:t>
      </w:r>
    </w:p>
    <w:p>
      <w:pPr>
        <w:spacing w:after="0" w:line="81" w:lineRule="exact"/>
        <w:rPr>
          <w:sz w:val="20"/>
          <w:szCs w:val="20"/>
          <w:color w:val="auto"/>
        </w:rPr>
      </w:pPr>
    </w:p>
    <w:p>
      <w:pPr>
        <w:jc w:val="both"/>
        <w:ind w:left="1540" w:right="240" w:hanging="439"/>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Adjusted EBITDA to the most directly comparable GAAP measure, see page 8 of the Company’s earnings release dated November 18, 2024 and furnished as Exhibit 99.1 to the Company’s Current Report on Form 8-K as furnished to the SEC on November 18, 2024.</w:t>
      </w:r>
    </w:p>
    <w:p>
      <w:pPr>
        <w:spacing w:after="0" w:line="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Premier Protein </w:t>
      </w:r>
      <w:r>
        <w:rPr>
          <w:rFonts w:ascii="Times New Roman" w:cs="Times New Roman" w:eastAsia="Times New Roman" w:hAnsi="Times New Roman"/>
          <w:sz w:val="18"/>
          <w:szCs w:val="18"/>
          <w:color w:val="auto"/>
        </w:rPr>
        <w:t>net sales increased 22.9%, driven by 25.1% increase in volume and 2.2% decrease in price/mix.</w:t>
      </w:r>
    </w:p>
    <w:p>
      <w:pPr>
        <w:spacing w:after="0" w:line="132"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Protein RTD production continued to grow as we added one co-manufacturer to our growing co-manufacturer network and expanded production with certain other co-manufacturers in our network.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at the end of fiscal 2024 was $60.72, an increase of approximately 47.3% from the end of fiscal 2023.</w:t>
      </w:r>
    </w:p>
    <w:p>
      <w:pPr>
        <w:spacing w:after="0" w:line="130"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opportunistically repurchased approximately 2.6 million shares of our common stock for $146.6 million at an average price of $56.12 per share (exclusive of broker commissions), which was approximately 7.6% below our stock price of $60.72 at the end of fiscal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Drives Performance and Creates Stockholder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Highlights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BD8EA"/>
            </w:tcBorders>
          </w:tcPr>
          <w:p>
            <w:pPr>
              <w:spacing w:after="0"/>
              <w:rPr>
                <w:sz w:val="15"/>
                <w:szCs w:val="15"/>
                <w:color w:val="auto"/>
              </w:rPr>
            </w:pPr>
          </w:p>
        </w:tc>
        <w:tc>
          <w:tcPr>
            <w:tcW w:w="5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r>
      <w:tr>
        <w:trPr>
          <w:trHeight w:val="250"/>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shd w:val="clear" w:color="auto" w:fill="ABD8EA"/>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Enforce strict insider trading policies</w:t>
            </w:r>
          </w:p>
        </w:tc>
        <w:tc>
          <w:tcPr>
            <w:tcW w:w="140" w:type="dxa"/>
            <w:vAlign w:val="bottom"/>
            <w:shd w:val="clear" w:color="auto" w:fill="ABD8EA"/>
          </w:tcPr>
          <w:p>
            <w:pPr>
              <w:spacing w:after="0"/>
              <w:rPr>
                <w:sz w:val="21"/>
                <w:szCs w:val="21"/>
                <w:color w:val="auto"/>
              </w:rPr>
            </w:pPr>
          </w:p>
        </w:tc>
        <w:tc>
          <w:tcPr>
            <w:tcW w:w="220" w:type="dxa"/>
            <w:vAlign w:val="bottom"/>
            <w:shd w:val="clear" w:color="auto" w:fill="ABD8EA"/>
          </w:tcPr>
          <w:p>
            <w:pPr>
              <w:spacing w:after="0"/>
              <w:rPr>
                <w:sz w:val="21"/>
                <w:szCs w:val="21"/>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hedging or pledging of Company stock by executives or directors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Maintain a clawback policy for incentive-based compensation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single-trigger or modified single-trigger change-in-control</w:t>
            </w:r>
          </w:p>
        </w:tc>
      </w:tr>
      <w:tr>
        <w:trPr>
          <w:trHeight w:val="234"/>
        </w:trPr>
        <w:tc>
          <w:tcPr>
            <w:tcW w:w="1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arrangements</w:t>
            </w:r>
          </w:p>
        </w:tc>
      </w:tr>
      <w:tr>
        <w:trPr>
          <w:trHeight w:val="27"/>
        </w:trPr>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meaningful stock ownership guidelines for executives and</w:t>
            </w:r>
          </w:p>
        </w:tc>
        <w:tc>
          <w:tcPr>
            <w:tcW w:w="14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change-in-control severance multiple in excess of three times</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16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salary and target bonus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Disclose performance goals and performance results for our Senior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excise tax gross-ups upon a change in control</w:t>
            </w:r>
          </w:p>
        </w:tc>
      </w:tr>
      <w:tr>
        <w:trPr>
          <w:trHeight w:val="234"/>
        </w:trPr>
        <w:tc>
          <w:tcPr>
            <w:tcW w:w="14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Bonus Program</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a maximum individual payout limit on our Senior Management</w:t>
            </w:r>
          </w:p>
        </w:tc>
        <w:tc>
          <w:tcPr>
            <w:tcW w:w="14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re-pricing or cash buyout of underwater stock options or stock</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16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Bonus Program</w:t>
            </w:r>
          </w:p>
        </w:tc>
        <w:tc>
          <w:tcPr>
            <w:tcW w:w="14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appreciation rights (“SARs”) allowed</w:t>
            </w:r>
          </w:p>
        </w:tc>
      </w:tr>
      <w:tr>
        <w:trPr>
          <w:trHeight w:val="303"/>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perquisites and other benefits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enhanced retirement formulas</w:t>
            </w:r>
          </w:p>
        </w:tc>
      </w:tr>
      <w:tr>
        <w:trPr>
          <w:trHeight w:val="332"/>
        </w:trPr>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53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220" w:type="dxa"/>
            <w:vAlign w:val="bottom"/>
            <w:tcBorders>
              <w:bottom w:val="single" w:sz="8" w:color="ABD8EA"/>
            </w:tcBorders>
          </w:tcPr>
          <w:p>
            <w:pPr>
              <w:spacing w:after="0"/>
              <w:rPr>
                <w:sz w:val="15"/>
                <w:szCs w:val="15"/>
                <w:color w:val="auto"/>
              </w:rPr>
            </w:pPr>
          </w:p>
        </w:tc>
        <w:tc>
          <w:tcPr>
            <w:tcW w:w="5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r>
      <w:tr>
        <w:trPr>
          <w:trHeight w:val="20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520" w:type="dxa"/>
            <w:vAlign w:val="bottom"/>
            <w:gridSpan w:val="2"/>
            <w:shd w:val="clear" w:color="auto" w:fill="ABD8EA"/>
          </w:tcPr>
          <w:p>
            <w:pPr>
              <w:ind w:left="200"/>
              <w:spacing w:after="0" w:line="205" w:lineRule="exact"/>
              <w:rPr>
                <w:sz w:val="20"/>
                <w:szCs w:val="20"/>
                <w:color w:val="auto"/>
              </w:rPr>
            </w:pPr>
            <w:r>
              <w:rPr>
                <w:rFonts w:ascii="Times New Roman" w:cs="Times New Roman" w:eastAsia="Times New Roman" w:hAnsi="Times New Roman"/>
                <w:sz w:val="18"/>
                <w:szCs w:val="18"/>
                <w:color w:val="auto"/>
              </w:rPr>
              <w:t>Incorporate general severance and change-in-control provisions in</w:t>
            </w:r>
          </w:p>
        </w:tc>
        <w:tc>
          <w:tcPr>
            <w:tcW w:w="536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color w:val="auto"/>
              </w:rPr>
              <w:t>X   No guaranteed compensation either annually or multi-year</w:t>
            </w:r>
          </w:p>
        </w:tc>
      </w:tr>
      <w:tr>
        <w:trPr>
          <w:trHeight w:val="216"/>
        </w:trPr>
        <w:tc>
          <w:tcPr>
            <w:tcW w:w="140" w:type="dxa"/>
            <w:vAlign w:val="bottom"/>
            <w:shd w:val="clear" w:color="auto" w:fill="ABD8EA"/>
          </w:tcPr>
          <w:p>
            <w:pPr>
              <w:spacing w:after="0"/>
              <w:rPr>
                <w:sz w:val="18"/>
                <w:szCs w:val="18"/>
                <w:color w:val="auto"/>
              </w:rPr>
            </w:pPr>
          </w:p>
        </w:tc>
        <w:tc>
          <w:tcPr>
            <w:tcW w:w="5520" w:type="dxa"/>
            <w:vAlign w:val="bottom"/>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Separation and Change in Control Agreements with our executives</w:t>
            </w:r>
          </w:p>
        </w:tc>
        <w:tc>
          <w:tcPr>
            <w:tcW w:w="5360" w:type="dxa"/>
            <w:vAlign w:val="bottom"/>
            <w:shd w:val="clear" w:color="auto" w:fill="ABD8EA"/>
          </w:tcPr>
          <w:p>
            <w:pPr>
              <w:spacing w:after="0"/>
              <w:rPr>
                <w:sz w:val="18"/>
                <w:szCs w:val="18"/>
                <w:color w:val="auto"/>
              </w:rPr>
            </w:pPr>
          </w:p>
        </w:tc>
      </w:tr>
      <w:tr>
        <w:trPr>
          <w:trHeight w:val="216"/>
        </w:trPr>
        <w:tc>
          <w:tcPr>
            <w:tcW w:w="140" w:type="dxa"/>
            <w:vAlign w:val="bottom"/>
            <w:shd w:val="clear" w:color="auto" w:fill="ABD8EA"/>
          </w:tcPr>
          <w:p>
            <w:pPr>
              <w:spacing w:after="0"/>
              <w:rPr>
                <w:sz w:val="18"/>
                <w:szCs w:val="18"/>
                <w:color w:val="auto"/>
              </w:rPr>
            </w:pPr>
          </w:p>
        </w:tc>
        <w:tc>
          <w:tcPr>
            <w:tcW w:w="5520" w:type="dxa"/>
            <w:vAlign w:val="bottom"/>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that are consistent with market practice, including double-trigger</w:t>
            </w:r>
          </w:p>
        </w:tc>
        <w:tc>
          <w:tcPr>
            <w:tcW w:w="5360" w:type="dxa"/>
            <w:vAlign w:val="bottom"/>
            <w:shd w:val="clear" w:color="auto" w:fill="ABD8EA"/>
          </w:tcPr>
          <w:p>
            <w:pPr>
              <w:spacing w:after="0"/>
              <w:rPr>
                <w:sz w:val="18"/>
                <w:szCs w:val="18"/>
                <w:color w:val="auto"/>
              </w:rPr>
            </w:pP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520" w:type="dxa"/>
            <w:vAlign w:val="bottom"/>
            <w:tcBorders>
              <w:bottom w:val="single" w:sz="8" w:color="ABD8EA"/>
            </w:tcBorders>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requirements for change-in-control protection</w:t>
            </w:r>
          </w:p>
        </w:tc>
        <w:tc>
          <w:tcPr>
            <w:tcW w:w="5360" w:type="dxa"/>
            <w:vAlign w:val="bottom"/>
            <w:tcBorders>
              <w:bottom w:val="single" w:sz="8" w:color="ABD8EA"/>
            </w:tcBorders>
            <w:shd w:val="clear" w:color="auto" w:fill="ABD8EA"/>
          </w:tcPr>
          <w:p>
            <w:pPr>
              <w:spacing w:after="0"/>
              <w:rPr>
                <w:sz w:val="20"/>
                <w:szCs w:val="20"/>
                <w:color w:val="auto"/>
              </w:rPr>
            </w:pP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 an independent compensation consultant reporting directly to</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market timing with granting of equity awards</w:t>
            </w:r>
          </w:p>
        </w:tc>
      </w:tr>
      <w:tr>
        <w:trPr>
          <w:trHeight w:val="234"/>
        </w:trPr>
        <w:tc>
          <w:tcPr>
            <w:tcW w:w="140" w:type="dxa"/>
            <w:vAlign w:val="bottom"/>
          </w:tcPr>
          <w:p>
            <w:pPr>
              <w:spacing w:after="0"/>
              <w:rPr>
                <w:sz w:val="20"/>
                <w:szCs w:val="20"/>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Committee</w:t>
            </w:r>
          </w:p>
        </w:tc>
        <w:tc>
          <w:tcPr>
            <w:tcW w:w="5360" w:type="dxa"/>
            <w:vAlign w:val="bottom"/>
          </w:tcPr>
          <w:p>
            <w:pPr>
              <w:spacing w:after="0"/>
              <w:rPr>
                <w:sz w:val="20"/>
                <w:szCs w:val="20"/>
                <w:color w:val="auto"/>
              </w:rPr>
            </w:pPr>
          </w:p>
        </w:tc>
      </w:tr>
    </w:tbl>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programs are intended to attract and retain executive officers and to align the interests of our executive officers and our stockholders. The Committee’s objectives for our programs include, but are not limited to, the following:</w:t>
      </w:r>
    </w:p>
    <w:p>
      <w:pPr>
        <w:spacing w:after="0" w:line="67" w:lineRule="exact"/>
        <w:rPr>
          <w:sz w:val="20"/>
          <w:szCs w:val="20"/>
          <w:color w:val="auto"/>
        </w:rPr>
      </w:pPr>
    </w:p>
    <w:p>
      <w:pPr>
        <w:ind w:left="1080" w:right="4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industry standards, offering competitive total compensation opportunities and balancing the need for talent with reasonable compensation expense;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stockholder value by focusing management on financial metrics that drive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at-risk, incentive-based compensation versus fixed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motivating and retaining executive talent willing to commit to long-term stockholder value creation;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executive decision-making with business strategy and discouraging excessive risk taking.</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Committee determines the type and amount of compensation opportunity for our officers based on a thorough review of a variety of factors, including competitive market data, the officer’s current responsibilities and value to the Company, future leadership potential and individual/corporate/business performance.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executive compensation structure strikes a balance of incentive opportunities based on:</w:t>
      </w:r>
    </w:p>
    <w:p>
      <w:pPr>
        <w:spacing w:after="0" w:line="131" w:lineRule="exact"/>
        <w:rPr>
          <w:sz w:val="20"/>
          <w:szCs w:val="20"/>
          <w:color w:val="auto"/>
        </w:rPr>
      </w:pPr>
    </w:p>
    <w:p>
      <w:pPr>
        <w:ind w:left="1080" w:right="4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in the Senior Management Bonus Program that directly impact our stock price and enhance longer-term stockholder value;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through performance restricted stock units (PRSUs) and restricted stock units (RSUs) to focus our executive team on delivering superior long-term stockholder value.</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elements of our executive pay programs and each element’s relationship with our ongoing annual executive compensation philosophy for NEOs:</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30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7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52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(Senior Management Bonus Program)</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Attracts and retains executives through market-based pay</w:t>
      </w:r>
    </w:p>
    <w:p>
      <w:pPr>
        <w:spacing w:after="0" w:line="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Encourages achievement of financial performance metrics that drive short-term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Compensates executives fairly and</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Fixed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competitively for their roles</w:t>
            </w:r>
          </w:p>
        </w:tc>
        <w:tc>
          <w:tcPr>
            <w:tcW w:w="1320" w:type="dxa"/>
            <w:vAlign w:val="bottom"/>
          </w:tcPr>
          <w:p>
            <w:pPr>
              <w:spacing w:after="0"/>
              <w:rPr>
                <w:sz w:val="20"/>
                <w:szCs w:val="20"/>
                <w:color w:val="auto"/>
              </w:rPr>
            </w:pPr>
          </w:p>
        </w:tc>
      </w:tr>
      <w:tr>
        <w:trPr>
          <w:trHeight w:val="25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achievement of predefined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business financial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objectives</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-719455</wp:posOffset>
            </wp:positionV>
            <wp:extent cx="483489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34890" cy="29146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3020" w:space="720"/>
            <w:col w:w="2800" w:space="280"/>
            <w:col w:w="4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color w:val="auto"/>
              </w:rPr>
              <w:t>(“LTI”)</w:t>
            </w: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Align executives’ long-term</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Value to the executive is based on</w:t>
            </w:r>
          </w:p>
        </w:tc>
        <w:tc>
          <w:tcPr>
            <w:tcW w:w="1500" w:type="dxa"/>
            <w:vAlign w:val="bottom"/>
            <w:shd w:val="clear" w:color="auto" w:fill="ABD8EA"/>
          </w:tcPr>
          <w:p>
            <w:pPr>
              <w:jc w:val="center"/>
              <w:ind w:left="70"/>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18"/>
                <w:szCs w:val="18"/>
                <w:color w:val="auto"/>
              </w:rPr>
            </w:pP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compensation interests with</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long-term stock price performance</w:t>
            </w:r>
          </w:p>
        </w:tc>
        <w:tc>
          <w:tcPr>
            <w:tcW w:w="1500" w:type="dxa"/>
            <w:vAlign w:val="bottom"/>
            <w:shd w:val="clear" w:color="auto" w:fill="ABD8EA"/>
          </w:tcPr>
          <w:p>
            <w:pPr>
              <w:jc w:val="center"/>
              <w:ind w:left="90"/>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41"/>
        </w:trPr>
        <w:tc>
          <w:tcPr>
            <w:tcW w:w="3400" w:type="dxa"/>
            <w:vAlign w:val="bottom"/>
            <w:tcBorders>
              <w:bottom w:val="single" w:sz="8" w:color="ABD8EA"/>
            </w:tcBorders>
            <w:shd w:val="clear" w:color="auto" w:fill="ABD8EA"/>
          </w:tcPr>
          <w:p>
            <w:pPr>
              <w:spacing w:after="0"/>
              <w:rPr>
                <w:sz w:val="20"/>
                <w:szCs w:val="20"/>
                <w:color w:val="auto"/>
              </w:rPr>
            </w:pPr>
          </w:p>
        </w:tc>
        <w:tc>
          <w:tcPr>
            <w:tcW w:w="2980" w:type="dxa"/>
            <w:vAlign w:val="bottom"/>
            <w:tcBorders>
              <w:bottom w:val="single" w:sz="8" w:color="ABD8EA"/>
            </w:tcBorders>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stockholders’ investment interests</w:t>
            </w:r>
          </w:p>
        </w:tc>
        <w:tc>
          <w:tcPr>
            <w:tcW w:w="3140" w:type="dxa"/>
            <w:vAlign w:val="bottom"/>
            <w:tcBorders>
              <w:bottom w:val="single" w:sz="8" w:color="ABD8EA"/>
            </w:tcBorders>
            <w:shd w:val="clear" w:color="auto" w:fill="ABD8EA"/>
          </w:tcPr>
          <w:p>
            <w:pPr>
              <w:spacing w:after="0"/>
              <w:rPr>
                <w:sz w:val="20"/>
                <w:szCs w:val="20"/>
                <w:color w:val="auto"/>
              </w:rPr>
            </w:pPr>
          </w:p>
        </w:tc>
        <w:tc>
          <w:tcPr>
            <w:tcW w:w="1500" w:type="dxa"/>
            <w:vAlign w:val="bottom"/>
            <w:tcBorders>
              <w:bottom w:val="single" w:sz="8" w:color="ABD8EA"/>
            </w:tcBorders>
            <w:shd w:val="clear" w:color="auto" w:fill="ABD8EA"/>
          </w:tcPr>
          <w:p>
            <w:pPr>
              <w:spacing w:after="0"/>
              <w:rPr>
                <w:sz w:val="20"/>
                <w:szCs w:val="20"/>
                <w:color w:val="auto"/>
              </w:rPr>
            </w:pPr>
          </w:p>
        </w:tc>
      </w:tr>
      <w:tr>
        <w:trPr>
          <w:trHeight w:val="365"/>
        </w:trPr>
        <w:tc>
          <w:tcPr>
            <w:tcW w:w="3400" w:type="dxa"/>
            <w:vAlign w:val="bottom"/>
          </w:tcPr>
          <w:p>
            <w:pPr>
              <w:spacing w:after="0"/>
              <w:rPr>
                <w:sz w:val="24"/>
                <w:szCs w:val="24"/>
                <w:color w:val="auto"/>
              </w:rPr>
            </w:pPr>
          </w:p>
        </w:tc>
        <w:tc>
          <w:tcPr>
            <w:tcW w:w="2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8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3"/>
        </w:trPr>
        <w:tc>
          <w:tcPr>
            <w:tcW w:w="34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Performance Restricted Stock Units</w:t>
            </w:r>
          </w:p>
        </w:tc>
        <w:tc>
          <w:tcPr>
            <w:tcW w:w="220" w:type="dxa"/>
            <w:vAlign w:val="bottom"/>
          </w:tcPr>
          <w:p>
            <w:pPr>
              <w:spacing w:after="0"/>
              <w:rPr>
                <w:sz w:val="17"/>
                <w:szCs w:val="17"/>
                <w:color w:val="auto"/>
              </w:rPr>
            </w:pPr>
          </w:p>
        </w:tc>
        <w:tc>
          <w:tcPr>
            <w:tcW w:w="28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Motivate executives to provide</w:t>
            </w:r>
          </w:p>
        </w:tc>
      </w:tr>
      <w:tr>
        <w:trPr>
          <w:trHeight w:val="21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(“PRSUs”)</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superior long-term total stockholder</w:t>
            </w:r>
          </w:p>
        </w:tc>
      </w:tr>
      <w:tr>
        <w:trPr>
          <w:trHeight w:val="216"/>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return (TSR) through stock price</w:t>
            </w: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30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Cumulative three-year TSR ranking</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versus Russell 3000 Food Products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ectPr>
          <w:pgSz w:w="11900" w:h="16838" w:orient="portrait"/>
          <w:cols w:equalWidth="0" w:num="2">
            <w:col w:w="6600" w:space="220"/>
            <w:col w:w="4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basic retention value and</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Require stock price growth for our</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18"/>
                <w:szCs w:val="18"/>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reinforce management behaviors to</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executives to recognize increased value</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400" w:type="dxa"/>
            <w:vAlign w:val="bottom"/>
            <w:shd w:val="clear" w:color="auto" w:fill="ABD8EA"/>
          </w:tcPr>
          <w:p>
            <w:pPr>
              <w:spacing w:after="0"/>
              <w:rPr>
                <w:sz w:val="20"/>
                <w:szCs w:val="20"/>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increase stock price after the grant date</w:t>
            </w:r>
          </w:p>
        </w:tc>
        <w:tc>
          <w:tcPr>
            <w:tcW w:w="3140" w:type="dxa"/>
            <w:vAlign w:val="bottom"/>
            <w:shd w:val="clear" w:color="auto" w:fill="ABD8EA"/>
          </w:tcPr>
          <w:p>
            <w:pPr>
              <w:spacing w:after="0"/>
              <w:rPr>
                <w:sz w:val="20"/>
                <w:szCs w:val="20"/>
                <w:color w:val="auto"/>
              </w:rPr>
            </w:pPr>
          </w:p>
        </w:tc>
        <w:tc>
          <w:tcPr>
            <w:tcW w:w="132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16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1320" w:type="dxa"/>
            <w:vAlign w:val="bottom"/>
            <w:shd w:val="clear" w:color="auto" w:fill="ABD8EA"/>
          </w:tcPr>
          <w:p>
            <w:pPr>
              <w:spacing w:after="0"/>
              <w:rPr>
                <w:sz w:val="2"/>
                <w:szCs w:val="2"/>
                <w:color w:val="auto"/>
              </w:rPr>
            </w:pPr>
          </w:p>
        </w:tc>
      </w:tr>
    </w:tbl>
    <w:p>
      <w:pPr>
        <w:spacing w:after="0" w:line="5"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Health/Welfare Plans and Retirement</w:t>
      </w:r>
      <w:r>
        <w:rPr>
          <w:sz w:val="20"/>
          <w:szCs w:val="20"/>
          <w:color w:val="auto"/>
        </w:rPr>
        <w:tab/>
      </w:r>
      <w:r>
        <w:rPr>
          <w:rFonts w:ascii="Times New Roman" w:cs="Times New Roman" w:eastAsia="Times New Roman" w:hAnsi="Times New Roman"/>
          <w:sz w:val="17"/>
          <w:szCs w:val="17"/>
          <w:color w:val="auto"/>
        </w:rPr>
        <w:t>Provide competitive benefits that</w:t>
      </w:r>
    </w:p>
    <w:p>
      <w:pPr>
        <w:spacing w:after="0" w:line="31" w:lineRule="exact"/>
        <w:rPr>
          <w:sz w:val="20"/>
          <w:szCs w:val="20"/>
          <w:color w:val="auto"/>
        </w:rPr>
      </w:pPr>
    </w:p>
    <w:p>
      <w:pPr>
        <w:ind w:left="1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Benefits</w:t>
      </w:r>
      <w:r>
        <w:rPr>
          <w:sz w:val="20"/>
          <w:szCs w:val="20"/>
          <w:color w:val="auto"/>
        </w:rPr>
        <w:tab/>
      </w:r>
      <w:r>
        <w:rPr>
          <w:rFonts w:ascii="Times New Roman" w:cs="Times New Roman" w:eastAsia="Times New Roman" w:hAnsi="Times New Roman"/>
          <w:sz w:val="18"/>
          <w:szCs w:val="18"/>
          <w:color w:val="auto"/>
        </w:rPr>
        <w:t>promote employee health and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productivity and support longer-term</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physical and fiscal security</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Similar to benefits offered to other</w:t>
      </w:r>
      <w:r>
        <w:rPr>
          <w:sz w:val="20"/>
          <w:szCs w:val="20"/>
          <w:color w:val="auto"/>
        </w:rPr>
        <w:tab/>
      </w:r>
      <w:r>
        <w:rPr>
          <w:rFonts w:ascii="Times New Roman" w:cs="Times New Roman" w:eastAsia="Times New Roman" w:hAnsi="Times New Roman"/>
          <w:sz w:val="17"/>
          <w:szCs w:val="17"/>
          <w:color w:val="auto"/>
        </w:rPr>
        <w:t>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w:t>
      </w:r>
    </w:p>
    <w:p>
      <w:pPr>
        <w:spacing w:after="0" w:line="467" w:lineRule="exact"/>
        <w:rPr>
          <w:sz w:val="20"/>
          <w:szCs w:val="20"/>
          <w:color w:val="auto"/>
        </w:rPr>
      </w:pPr>
    </w:p>
    <w:p>
      <w:pPr>
        <w:sectPr>
          <w:pgSz w:w="11900" w:h="16838" w:orient="portrait"/>
          <w:cols w:equalWidth="0" w:num="2">
            <w:col w:w="6400" w:space="420"/>
            <w:col w:w="4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limited personal benefits that</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Limited personal use of the corporate</w:t>
            </w:r>
          </w:p>
        </w:tc>
        <w:tc>
          <w:tcPr>
            <w:tcW w:w="1260" w:type="dxa"/>
            <w:vAlign w:val="bottom"/>
            <w:shd w:val="clear" w:color="auto" w:fill="ABD8EA"/>
          </w:tcPr>
          <w:p>
            <w:pPr>
              <w:ind w:left="400"/>
              <w:spacing w:after="0"/>
              <w:rPr>
                <w:sz w:val="20"/>
                <w:szCs w:val="20"/>
                <w:color w:val="auto"/>
              </w:rPr>
            </w:pPr>
            <w:r>
              <w:rPr>
                <w:rFonts w:ascii="Times New Roman" w:cs="Times New Roman" w:eastAsia="Times New Roman" w:hAnsi="Times New Roman"/>
                <w:sz w:val="18"/>
                <w:szCs w:val="18"/>
                <w:color w:val="auto"/>
              </w:rPr>
              <w:t>Fixed</w:t>
            </w:r>
          </w:p>
        </w:tc>
      </w:tr>
      <w:tr>
        <w:trPr>
          <w:trHeight w:val="216"/>
        </w:trPr>
        <w:tc>
          <w:tcPr>
            <w:tcW w:w="3400" w:type="dxa"/>
            <w:vAlign w:val="bottom"/>
            <w:shd w:val="clear" w:color="auto" w:fill="ABD8EA"/>
          </w:tcPr>
          <w:p>
            <w:pPr>
              <w:spacing w:after="0"/>
              <w:rPr>
                <w:sz w:val="18"/>
                <w:szCs w:val="18"/>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are consistent with our overall</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aircraft for our President and Chief</w:t>
            </w:r>
          </w:p>
        </w:tc>
        <w:tc>
          <w:tcPr>
            <w:tcW w:w="1260" w:type="dxa"/>
            <w:vAlign w:val="bottom"/>
            <w:shd w:val="clear" w:color="auto" w:fill="ABD8EA"/>
          </w:tcPr>
          <w:p>
            <w:pPr>
              <w:spacing w:after="0"/>
              <w:rPr>
                <w:sz w:val="18"/>
                <w:szCs w:val="18"/>
                <w:color w:val="auto"/>
              </w:rPr>
            </w:pPr>
          </w:p>
        </w:tc>
      </w:tr>
      <w:tr>
        <w:trPr>
          <w:trHeight w:val="216"/>
        </w:trPr>
        <w:tc>
          <w:tcPr>
            <w:tcW w:w="3400" w:type="dxa"/>
            <w:vAlign w:val="bottom"/>
            <w:shd w:val="clear" w:color="auto" w:fill="ABD8EA"/>
          </w:tcPr>
          <w:p>
            <w:pPr>
              <w:spacing w:after="0"/>
              <w:rPr>
                <w:sz w:val="18"/>
                <w:szCs w:val="18"/>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philosophy and objective to attract and</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Executive Officer only</w:t>
            </w:r>
          </w:p>
        </w:tc>
        <w:tc>
          <w:tcPr>
            <w:tcW w:w="1260" w:type="dxa"/>
            <w:vAlign w:val="bottom"/>
            <w:shd w:val="clear" w:color="auto" w:fill="ABD8EA"/>
          </w:tcPr>
          <w:p>
            <w:pPr>
              <w:spacing w:after="0"/>
              <w:rPr>
                <w:sz w:val="18"/>
                <w:szCs w:val="18"/>
                <w:color w:val="auto"/>
              </w:rPr>
            </w:pPr>
          </w:p>
        </w:tc>
      </w:tr>
      <w:tr>
        <w:trPr>
          <w:trHeight w:val="234"/>
        </w:trPr>
        <w:tc>
          <w:tcPr>
            <w:tcW w:w="3400" w:type="dxa"/>
            <w:vAlign w:val="bottom"/>
            <w:shd w:val="clear" w:color="auto" w:fill="ABD8EA"/>
          </w:tcPr>
          <w:p>
            <w:pPr>
              <w:spacing w:after="0"/>
              <w:rPr>
                <w:sz w:val="20"/>
                <w:szCs w:val="20"/>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retain superior executive talent</w:t>
            </w:r>
          </w:p>
        </w:tc>
        <w:tc>
          <w:tcPr>
            <w:tcW w:w="3220" w:type="dxa"/>
            <w:vAlign w:val="bottom"/>
            <w:shd w:val="clear" w:color="auto" w:fill="ABD8EA"/>
          </w:tcPr>
          <w:p>
            <w:pPr>
              <w:spacing w:after="0"/>
              <w:rPr>
                <w:sz w:val="20"/>
                <w:szCs w:val="20"/>
                <w:color w:val="auto"/>
              </w:rPr>
            </w:pPr>
          </w:p>
        </w:tc>
        <w:tc>
          <w:tcPr>
            <w:tcW w:w="126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3220" w:type="dxa"/>
            <w:vAlign w:val="bottom"/>
            <w:shd w:val="clear" w:color="auto" w:fill="ABD8EA"/>
          </w:tcPr>
          <w:p>
            <w:pPr>
              <w:spacing w:after="0"/>
              <w:rPr>
                <w:sz w:val="2"/>
                <w:szCs w:val="2"/>
                <w:color w:val="auto"/>
              </w:rPr>
            </w:pPr>
          </w:p>
        </w:tc>
        <w:tc>
          <w:tcPr>
            <w:tcW w:w="1260" w:type="dxa"/>
            <w:vAlign w:val="bottom"/>
            <w:shd w:val="clear" w:color="auto" w:fill="ABD8EA"/>
          </w:tcPr>
          <w:p>
            <w:pPr>
              <w:spacing w:after="0"/>
              <w:rPr>
                <w:sz w:val="2"/>
                <w:szCs w:val="2"/>
                <w:color w:val="auto"/>
              </w:rPr>
            </w:pPr>
          </w:p>
        </w:tc>
      </w:tr>
    </w:tbl>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2024 NEO Target Compensation Structure Summary</w:t>
            </w:r>
          </w:p>
        </w:tc>
      </w:tr>
      <w:tr>
        <w:trPr>
          <w:trHeight w:val="156"/>
        </w:trPr>
        <w:tc>
          <w:tcPr>
            <w:tcW w:w="238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Borders>
              <w:bottom w:val="single" w:sz="8" w:color="ABD8EA"/>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0" w:type="dxa"/>
            <w:vAlign w:val="bottom"/>
            <w:tcBorders>
              <w:bottom w:val="single" w:sz="8" w:color="auto"/>
            </w:tcBorders>
          </w:tcPr>
          <w:p>
            <w:pPr>
              <w:ind w:left="32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r>
        <w:trPr>
          <w:trHeight w:val="205"/>
        </w:trPr>
        <w:tc>
          <w:tcPr>
            <w:tcW w:w="238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8640" w:type="dxa"/>
            <w:vAlign w:val="bottom"/>
            <w:gridSpan w:val="3"/>
            <w:shd w:val="clear" w:color="auto" w:fill="ABD8EA"/>
          </w:tcPr>
          <w:p>
            <w:pPr>
              <w:ind w:left="220"/>
              <w:spacing w:after="0" w:line="205" w:lineRule="exact"/>
              <w:rPr>
                <w:sz w:val="20"/>
                <w:szCs w:val="20"/>
                <w:color w:val="auto"/>
              </w:rPr>
            </w:pPr>
            <w:r>
              <w:rPr>
                <w:rFonts w:ascii="Times New Roman" w:cs="Times New Roman" w:eastAsia="Times New Roman" w:hAnsi="Times New Roman"/>
                <w:sz w:val="18"/>
                <w:szCs w:val="18"/>
                <w:color w:val="auto"/>
              </w:rPr>
              <w:t>The following salaries were approved for fiscal year 2024, following a thorough review of competitive market</w:t>
            </w:r>
          </w:p>
        </w:tc>
      </w:tr>
      <w:tr>
        <w:trPr>
          <w:trHeight w:val="216"/>
        </w:trPr>
        <w:tc>
          <w:tcPr>
            <w:tcW w:w="2380" w:type="dxa"/>
            <w:vAlign w:val="bottom"/>
            <w:shd w:val="clear" w:color="auto" w:fill="ABD8EA"/>
          </w:tcPr>
          <w:p>
            <w:pPr>
              <w:spacing w:after="0"/>
              <w:rPr>
                <w:sz w:val="18"/>
                <w:szCs w:val="18"/>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practices provided by Aon, our independent compensation consultant. The changes were approved to bring our</w:t>
            </w:r>
          </w:p>
        </w:tc>
      </w:tr>
      <w:tr>
        <w:trPr>
          <w:trHeight w:val="234"/>
        </w:trPr>
        <w:tc>
          <w:tcPr>
            <w:tcW w:w="2380" w:type="dxa"/>
            <w:vAlign w:val="bottom"/>
            <w:shd w:val="clear" w:color="auto" w:fill="ABD8EA"/>
          </w:tcPr>
          <w:p>
            <w:pPr>
              <w:spacing w:after="0"/>
              <w:rPr>
                <w:sz w:val="20"/>
                <w:szCs w:val="20"/>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executives more in-line with competitive market values for similar-sized public companies in our industry.</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7"/>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 Ms. Davenport: $750,000 (7.1%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Rode: $500,000 (9.9%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Cornille: $460,000 (7.0%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Rosenthal: $430,000 (7.5%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Singh: $400,000 (8.1% increase)</w:t>
            </w:r>
          </w:p>
        </w:tc>
      </w:tr>
      <w:tr>
        <w:trPr>
          <w:trHeight w:val="162"/>
        </w:trPr>
        <w:tc>
          <w:tcPr>
            <w:tcW w:w="2380" w:type="dxa"/>
            <w:vAlign w:val="bottom"/>
            <w:shd w:val="clear" w:color="auto" w:fill="ABD8EA"/>
          </w:tcPr>
          <w:p>
            <w:pPr>
              <w:spacing w:after="0"/>
              <w:rPr>
                <w:sz w:val="14"/>
                <w:szCs w:val="14"/>
                <w:color w:val="auto"/>
              </w:rPr>
            </w:pPr>
          </w:p>
        </w:tc>
        <w:tc>
          <w:tcPr>
            <w:tcW w:w="220" w:type="dxa"/>
            <w:vAlign w:val="bottom"/>
            <w:shd w:val="clear" w:color="auto" w:fill="ABD8EA"/>
          </w:tcPr>
          <w:p>
            <w:pPr>
              <w:spacing w:after="0"/>
              <w:rPr>
                <w:sz w:val="14"/>
                <w:szCs w:val="14"/>
                <w:color w:val="auto"/>
              </w:rPr>
            </w:pPr>
          </w:p>
        </w:tc>
        <w:tc>
          <w:tcPr>
            <w:tcW w:w="8420" w:type="dxa"/>
            <w:vAlign w:val="bottom"/>
            <w:gridSpan w:val="2"/>
            <w:shd w:val="clear" w:color="auto" w:fill="ABD8EA"/>
          </w:tcPr>
          <w:p>
            <w:pPr>
              <w:spacing w:after="0"/>
              <w:rPr>
                <w:sz w:val="14"/>
                <w:szCs w:val="14"/>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Annual Bonus</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Our NEOs’ target bonuses as a percent of base salary were reviewed against competitive external market data</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provided by Aon, and our objective for internal consistency for senior management roles. The changes to the targets</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Bonus Program)</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some of the Named Executive Officers were approved to bring our executives more in-line with competitive</w:t>
            </w:r>
          </w:p>
        </w:tc>
      </w:tr>
      <w:tr>
        <w:trPr>
          <w:trHeight w:val="216"/>
        </w:trPr>
        <w:tc>
          <w:tcPr>
            <w:tcW w:w="238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 values for similar-sized public companies in our industry. The following target bonus opportunities were</w:t>
            </w:r>
          </w:p>
        </w:tc>
      </w:tr>
      <w:tr>
        <w:trPr>
          <w:trHeight w:val="234"/>
        </w:trPr>
        <w:tc>
          <w:tcPr>
            <w:tcW w:w="2380" w:type="dxa"/>
            <w:vAlign w:val="bottom"/>
          </w:tcPr>
          <w:p>
            <w:pPr>
              <w:spacing w:after="0"/>
              <w:rPr>
                <w:sz w:val="20"/>
                <w:szCs w:val="20"/>
                <w:color w:val="auto"/>
              </w:rPr>
            </w:pP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approved for fiscal year 2024:</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 Ms. Davenport: 125% of base salary (no change)</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Rode: 75% of base salary (increased from 65%)</w:t>
            </w:r>
          </w:p>
        </w:tc>
      </w:tr>
      <w:tr>
        <w:trPr>
          <w:trHeight w:val="37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140"/>
          </w:cols>
          <w:pgMar w:left="320" w:top="482"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Fiscal Year 2024 NEO Target Compensation Structure Summary</w:t>
            </w:r>
          </w:p>
        </w:tc>
      </w:tr>
      <w:tr>
        <w:trPr>
          <w:trHeight w:val="155"/>
        </w:trPr>
        <w:tc>
          <w:tcPr>
            <w:tcW w:w="240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13"/>
                <w:szCs w:val="13"/>
                <w:color w:val="auto"/>
              </w:rPr>
            </w:pPr>
          </w:p>
        </w:tc>
        <w:tc>
          <w:tcPr>
            <w:tcW w:w="8400" w:type="dxa"/>
            <w:vAlign w:val="bottom"/>
            <w:tcBorders>
              <w:bottom w:val="single" w:sz="8" w:color="auto"/>
            </w:tcBorders>
          </w:tcPr>
          <w:p>
            <w:pPr>
              <w:ind w:left="38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bl>
    <w:p>
      <w:pPr>
        <w:spacing w:after="0" w:line="103"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i w:val="1"/>
          <w:iCs w:val="1"/>
          <w:color w:val="auto"/>
        </w:rPr>
        <w:t>(Regular 2024 grants — 100% PRSUs)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i w:val="1"/>
          <w:iCs w:val="1"/>
          <w:color w:val="auto"/>
        </w:rPr>
        <w:t>(Special 2024 grants — 50/50 PRSU/RSU)</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Times New Roman" w:cs="Times New Roman" w:eastAsia="Times New Roman" w:hAnsi="Times New Roman"/>
          <w:sz w:val="18"/>
          <w:szCs w:val="18"/>
          <w:color w:val="auto"/>
        </w:rPr>
        <w:t>•    Mr. Cornille: 75% of base salary (increased from 65%)</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 Mr. Rosenthal: 65% of base salary (increased from 55%)</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 Mr. Singh: 55% of base salary (no change)</w:t>
      </w:r>
    </w:p>
    <w:p>
      <w:pPr>
        <w:spacing w:after="0" w:line="1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Senior Management Bonus Program, an executive may earn from 0% to 150% of the target amount based upon the achievement level for the applicable performance metrics.</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offer an equity portfolio linked to increases in stockholder value beyond grant date. For our fiscal year 2024 equity grants, similar to fiscal year 2023, we determined it was in our stockholders’ best interests to grant 100% performance restricted stock units (PRSU) to all of our Named Executive Officers, except Mr. Vitale because of the Company’s commitment to no additional equity grants during the three-year term of his fiscal year 2022 equity grants.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PRSU program measures three-year cumulative total stockholder return (TSR) against the Russell 3000 Food Products companies (the same industry classification as BRBR, consisting of 37 companies for the fiscal year 2024 grant). An executive may earn from 0% to 260% of the target amount based upon our TSR achievement level for the performance period.</w:t>
      </w:r>
    </w:p>
    <w:p>
      <w:pPr>
        <w:spacing w:after="0" w:line="11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November 2023, the Committee approved special equity grants in an enhanced amount to our NEOs to (1) recognize the Company’s extraordinary financial and long-term TSR performance since becoming a public company, (2) recognize the NEOs’ exceptional leadership in navigating a challenging period of product capacity constraints during the past two years, delivering results that exceeded established goals and (3) enhance retention for a critical period of growth for our Company over the next three years. Please see the discussion of the special grants below regarding the rationale for these grants.</w:t>
      </w:r>
    </w:p>
    <w:p>
      <w:pPr>
        <w:spacing w:after="0" w:line="214"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special equity grants consisted of 50% PRSU target value and 50% RSU value. The performance requirements, performance period, and payout opportunities for the PRSUs are the same as our regular grants described above. The RSUs cliff vest 100% on the third anniversary of the grant date, subject to continued employment.</w:t>
      </w:r>
    </w:p>
    <w:p>
      <w:pPr>
        <w:spacing w:after="0" w:line="131" w:lineRule="exact"/>
        <w:rPr>
          <w:sz w:val="20"/>
          <w:szCs w:val="20"/>
          <w:color w:val="auto"/>
        </w:rPr>
      </w:pPr>
    </w:p>
    <w:p>
      <w:pPr>
        <w:sectPr>
          <w:pgSz w:w="11900" w:h="16838" w:orient="portrait"/>
          <w:cols w:equalWidth="0" w:num="2">
            <w:col w:w="2340" w:space="400"/>
            <w:col w:w="8400"/>
          </w:cols>
          <w:pgMar w:left="320" w:top="482"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Mix</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mix of total compensation including our regular equity grants, as illustrated by the below charts, is significantly skewed towards performance-based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225425</wp:posOffset>
            </wp:positionV>
            <wp:extent cx="3326130" cy="1663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613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previous charts exclude the special fiscal year 2024 equity grants that are 50% target PRSU value (performance-based) and 50% RSU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Decision Process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Corporate Governance and Compensation Committee</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competitive market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chief executive officer’s performance and determining the chief executive officer’s compensation;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incentive plan goals, achievement levels, objectives and compensation recommendations for the NEOs and other executive officers;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competitiveness of each executive’s total compensation package to ensure that we can attract and retain critical management talent;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changes to the total compensation programs for the NEOs including, but not limited to, base salary, annual bonuses, long-term incentives and benefits.</w:t>
      </w:r>
    </w:p>
    <w:p>
      <w:pPr>
        <w:spacing w:after="0" w:line="162"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Following review and discussion, the Committee or the Board, as applicable, approves the executive compensation of our executive officers. The Committee is supported in its work by our Chief Legal Officer and Senior Vice President, People, as well as the Committee’s independent compensation consultant. In the event that an employee becomes an executive officer in the middle of the fiscal year, the Committee approves such executive officer’s compensation on a go-forward basis but does not retroactively approve any compensation or compensation targets previously set for such employee.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For executive officers other than herself, our President and Chief Executive Officer makes pay recommendations to the Committee based on competitive market data and an assessment of individual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performance. Her recommendations to the Committee establish appropriate and market-competitive compensation opportunities for our NEOs, consistent with our overall pay philosophy. The Committee reviews and discusses the recommendations and seeks input and market data from the Committee’s independent compensation consultant before making compensation decisions or recommendations to the full Board. No officer participates directly in the final deliberations or determinations regarding his or her own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Committee retains the services of Aon’s Human Capital Solutions Practice, a division of Aon plc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Aon’s specific compensation consultation roles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director and executive compensation trends and regulatory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peer group of companies for determining competitive compensation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total compensation study for executives against peer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to the Committee on corporate governance best practices, as well as any other areas of concern or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resource to the Committee chair for meeting agendas and supporting materials in advance of each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commenting on proxy statement disclosure items;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management’s pay recommendations.</w:t>
      </w:r>
    </w:p>
    <w:p>
      <w:pPr>
        <w:spacing w:after="0" w:line="11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Peer Companies and Competitive Market Data</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Annually, the Committee reviews total compensation market data provided by Aon. The Committee reviews and approves the peer group used for comparisons prior to commencement of the pay study. The following peer group development criteria were used to develop competitive market values to assist with fiscal year 2024 pay decisions:</w:t>
      </w:r>
    </w:p>
    <w:p>
      <w:pPr>
        <w:spacing w:after="0" w:line="7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similar to BellRing, based on the Industrial Classification Benchmark for the Russell 3000 index;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size</w:t>
      </w:r>
      <w:r>
        <w:rPr>
          <w:rFonts w:ascii="Times New Roman" w:cs="Times New Roman" w:eastAsia="Times New Roman" w:hAnsi="Times New Roman"/>
          <w:sz w:val="18"/>
          <w:szCs w:val="18"/>
          <w:color w:val="auto"/>
        </w:rPr>
        <w:t>: approximately 0.4x to 3x BellRing’s annual revenues, with a secondary focus on market 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w:t>
      </w:r>
      <w:r>
        <w:rPr>
          <w:rFonts w:ascii="Times New Roman" w:cs="Times New Roman" w:eastAsia="Times New Roman" w:hAnsi="Times New Roman"/>
          <w:sz w:val="18"/>
          <w:szCs w:val="18"/>
          <w:color w:val="auto"/>
        </w:rPr>
        <w:t>: companies using BellRing in their compensation peer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peers</w:t>
      </w:r>
      <w:r>
        <w:rPr>
          <w:rFonts w:ascii="Times New Roman" w:cs="Times New Roman" w:eastAsia="Times New Roman" w:hAnsi="Times New Roman"/>
          <w:sz w:val="18"/>
          <w:szCs w:val="18"/>
          <w:color w:val="auto"/>
        </w:rPr>
        <w:t>: companies used in the peer groups of potential peer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Competitors</w:t>
      </w:r>
      <w:r>
        <w:rPr>
          <w:rFonts w:ascii="Times New Roman" w:cs="Times New Roman" w:eastAsia="Times New Roman" w:hAnsi="Times New Roman"/>
          <w:sz w:val="18"/>
          <w:szCs w:val="18"/>
          <w:color w:val="auto"/>
        </w:rPr>
        <w:t>: companies that compete with BellRing for business and management talent.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peer group used to assist with fiscal year 2024 pay decisions was unchanged from the 2023 peer group, and consisted of the following 14 companies:</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 B&amp;G Foods,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 Medifast,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 Calavo Growers,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 Sovos Brands,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 Flowers Foods,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Hain Celestial Group,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 Hostess Brands,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 The Simply Good Foods Company</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 J&amp;J Snack Foods Corp.</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 Treehouse Foods,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 Lamb Weston Holdings,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 Utz Brands, Inc.</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 Lancaster Colony Corporation</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International, Inc.</w:t>
            </w:r>
          </w:p>
        </w:tc>
      </w:tr>
    </w:tbl>
    <w:p>
      <w:pPr>
        <w:spacing w:after="0" w:line="19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Timing of Compensation Decisions and Equity Grants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Pay recommendations for our executives, including our executive officers, are typically made by the Committee at its first regularly scheduled meeting in the first fiscal quarter of the year, normally held in November. This meeting is typically held around the same time as we report our annual financial results for the preceding fiscal year. This timing allows the Committee to have a complete financial performance picture prior to making compensation decisions. In advance of its regularly scheduled November meeting, the Committee often has pre-meetings or other off-cycle discussions to give thorough consideration to the appropriate amount and structure of compensation for our executives.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accordance with Item 402(x) of Regulation S-K, the Company has established clear guidelines regarding the timing of equity grants to ensure transparency and fairness. The Company does not issue stock options. Rather, it grants equity-based compensation in the form of restricted stock units (RSUs), and performance-based restricted stock units (PRSUs) as part of its executive compensation program. The Company adheres to a predictable and structured process for approving and issuing equity awards. Decisions with respect to prior fiscal year performance, as well as annual equity awards, base salary increases and target performance levels for the current fiscal year and beyond, are typically made at the Committee’s first regularly scheduled meeting for the fiscal year, the date of which is set at the beginning of the fiscal year—well in advance of any material non-public information disclosure. This practice ensures that grant dates are scheduled well in advance, and the timing of grants is not adjusted based on fluctuations in stock price or pending corporate announcements. Further, any equity awards approved by the Committee at this meeting are dated as of the date of the Committee meeting. As such, the Committee does not time the grants of equity incentives to the release of material non-public information. The Company does not reprice or backdate any equity grants. Additionally, no equity awards are made retroactively to avoid any appearance of impropriety or manipulation of award timing.</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 There were no such awards under these exceptions in fiscal year 2024.</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CEO Compensation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its first regularly scheduled meeting of the fiscal year, normally held in November, the Committee reviews and evaluates CEO performance, and determines performance achievement levels, for the prior fiscal year. The Committee also reviews competitive compensation data. Following review and discussion, the Committee or the Board, as applicable, approves the CEO’s compensation.</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fiscal year 2024, our executive compensation programs were determined by our Board of Directors, through our Corporate Governance and Compensation Committee. See </w:t>
      </w:r>
      <w:r>
        <w:rPr>
          <w:rFonts w:ascii="Times New Roman" w:cs="Times New Roman" w:eastAsia="Times New Roman" w:hAnsi="Times New Roman"/>
          <w:sz w:val="18"/>
          <w:szCs w:val="18"/>
          <w:i w:val="1"/>
          <w:iCs w:val="1"/>
          <w:color w:val="auto"/>
        </w:rPr>
        <w:t>Compensation Decision Process</w:t>
      </w:r>
      <w:r>
        <w:rPr>
          <w:rFonts w:ascii="Times New Roman" w:cs="Times New Roman" w:eastAsia="Times New Roman" w:hAnsi="Times New Roman"/>
          <w:sz w:val="18"/>
          <w:szCs w:val="18"/>
          <w:color w:val="auto"/>
        </w:rPr>
        <w:t xml:space="preserve"> above for further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Compensation Elements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Base salaries are designed to recognize the competency, experience and performance an executive brings to the position. Changes in base salary will result primarily from a comparison to peer group market data, individual and Company performance, internal equity, value to the organization, promotions and the specific responsibilities compared to market. The Committee reviews base salaries for our executive officers annually.</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salaries were approved for fiscal year 2024, based on a thorough review of competitive market data provided by Aon, bringing our executive team into alignment with the competitive market for their position and our objective for internal alignment: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8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50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0" w:type="dxa"/>
            <w:vAlign w:val="bottom"/>
          </w:tcPr>
          <w:p>
            <w:pPr>
              <w:spacing w:after="0"/>
              <w:rPr>
                <w:sz w:val="1"/>
                <w:szCs w:val="1"/>
                <w:color w:val="auto"/>
              </w:rPr>
            </w:pPr>
          </w:p>
        </w:tc>
      </w:tr>
      <w:tr>
        <w:trPr>
          <w:trHeight w:val="27"/>
        </w:trPr>
        <w:tc>
          <w:tcPr>
            <w:tcW w:w="41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1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750,000</w:t>
            </w:r>
          </w:p>
        </w:tc>
        <w:tc>
          <w:tcPr>
            <w:tcW w:w="17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0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500,000</w:t>
            </w:r>
          </w:p>
        </w:tc>
        <w:tc>
          <w:tcPr>
            <w:tcW w:w="17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460,000</w:t>
            </w:r>
          </w:p>
        </w:tc>
        <w:tc>
          <w:tcPr>
            <w:tcW w:w="17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0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430,000</w:t>
            </w:r>
          </w:p>
        </w:tc>
        <w:tc>
          <w:tcPr>
            <w:tcW w:w="17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400,000</w:t>
            </w:r>
          </w:p>
        </w:tc>
        <w:tc>
          <w:tcPr>
            <w:tcW w:w="17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receive a base salary in his role as Chairman of the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 (Senior Management Bonus Program)</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NEOs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For fiscal year 2024, the Committee approved Net Revenue (25%) and Adjusted EBITDA (75%) as the performance metrics for both the corporate and Premier Nutrition business unit level. The Compensation Committee believes that using adjusted EBITDA as the primary performance metric for NEO bonuses is important for aligning this incentive with the Company’s growth-oriented strategy. This metric reflects the Company’s commitment to controlling operating costs, enhancing operational efficiency, sustainable growth, and value creation, ensuring that, as the Company drives sales growth, NEOs are rewarded for results that drive long-term stockholder value.</w:t>
      </w:r>
    </w:p>
    <w:p>
      <w:pPr>
        <w:spacing w:after="0" w:line="89" w:lineRule="exact"/>
        <w:rPr>
          <w:sz w:val="20"/>
          <w:szCs w:val="20"/>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 of target annual bonus opportunity may be earned if the participant’s targeted corporate / business unit financial performance is achieved.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100% to 150% of target annual bonus opportunity may only be earned if both components (Net Revenues and Adjusted EBITDA) of the participant’s targeted corporate / business unit financial performance are achieved. However, all above-target payment opportunities are based solely on BellRing Brands’ overall corporate financial performance achievement.</w:t>
      </w:r>
    </w:p>
    <w:p>
      <w:pPr>
        <w:spacing w:after="0" w:line="17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Potential financial adjustments to determine performance achievement levels include items such as transaction costs and integration costs, provision for legal settlements, non-cash stock-based compensation and other items that the Company believes do not contribute to a meaningful evaluation of the Company’s current operating performance or comparisons of the Company’s operating performance to other fiscal periods. These adjustments are consistent with our announced results.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the fiscal year, the Committee determines achievement levels versus the pre-approved financial targets, calculated separately for each performance metric. The Committee also performs a 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will result in a lower bonus amount for that performance metric, to the extent discretion is exercised, or no bonus at all. The Committee retains flexibility to make adjustments as needed to incorporate the results of its comprehensive financial review.</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Target award opportunities</w:t>
      </w:r>
      <w:r>
        <w:rPr>
          <w:rFonts w:ascii="Times New Roman" w:cs="Times New Roman" w:eastAsia="Times New Roman" w:hAnsi="Times New Roman"/>
          <w:sz w:val="18"/>
          <w:szCs w:val="18"/>
          <w:color w:val="auto"/>
        </w:rPr>
        <w:t>: The following target bonuses (as a percentage of base salary) were approved for fiscal year 2024, based on a thorough review of competitive market data provided by Aon, bringing the targets into alignment with the competitive market for the position and our objective for internal alignment:</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vMerge w:val="restart"/>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2024 Target</w:t>
            </w:r>
          </w:p>
        </w:tc>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3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2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3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50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Increased from 65%</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Increased from 65%</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Increased from 55%</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Chairman of the Board of Directors.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Performance and Payout Curves</w:t>
      </w:r>
      <w:r>
        <w:rPr>
          <w:rFonts w:ascii="Times New Roman" w:cs="Times New Roman" w:eastAsia="Times New Roman" w:hAnsi="Times New Roman"/>
          <w:sz w:val="18"/>
          <w:szCs w:val="18"/>
          <w:color w:val="auto"/>
        </w:rPr>
        <w:t>: For each performance metric, participants may earn from 50% to 150% of the target bonus attributable to that performance metric based on performance achievement between the threshold and maximum levels. Above-target payments may only be earned if both components (Net Revenues and Adjusted EBITDA) of the participant’s corporate / business unit financial performance goals are achieved, and all above-target payment opportunities are based solely on BellRing Brands’ overall corporate financial performance achievement. Payout opportunities for performance between the threshold, target and maximum levels, calculated separately for each performance metric, are interpolated on a straight-line basis. For business unit level named executive officers, above-target payouts are subject to the business unit achieving at least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to the extent discretion is exercised, or no bonus at all. Ms. Davenport, Mr. Rode, and Mr. Rosenthal are corporate level named executive officers and Mr. Cornille and Mr. Singh are business unit level named executive officers.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Target and Actual Fiscal Year 2024 performance</w:t>
      </w:r>
      <w:r>
        <w:rPr>
          <w:rFonts w:ascii="Times New Roman" w:cs="Times New Roman" w:eastAsia="Times New Roman" w:hAnsi="Times New Roman"/>
          <w:sz w:val="18"/>
          <w:szCs w:val="18"/>
          <w:color w:val="auto"/>
        </w:rPr>
        <w:t>: Below are the approved levels, and actual achievement, of corporate and business unit Net Revenue and Adjusted EBITDA for fiscal year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3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Fiscal Year 2024 Performance Metrics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60" w:type="dxa"/>
            <w:vAlign w:val="bottom"/>
          </w:tcPr>
          <w:p>
            <w:pPr>
              <w:spacing w:after="0"/>
              <w:rPr>
                <w:sz w:val="13"/>
                <w:szCs w:val="13"/>
                <w:color w:val="auto"/>
              </w:rPr>
            </w:pPr>
          </w:p>
        </w:tc>
        <w:tc>
          <w:tcPr>
            <w:tcW w:w="6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tcPr>
          <w:p>
            <w:pPr>
              <w:spacing w:after="0"/>
              <w:rPr>
                <w:sz w:val="13"/>
                <w:szCs w:val="13"/>
                <w:color w:val="auto"/>
              </w:rPr>
            </w:pPr>
          </w:p>
        </w:tc>
        <w:tc>
          <w:tcPr>
            <w:tcW w:w="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90"/>
        </w:trPr>
        <w:tc>
          <w:tcPr>
            <w:tcW w:w="340" w:type="dxa"/>
            <w:vAlign w:val="bottom"/>
            <w:tcBorders>
              <w:top w:val="single" w:sz="8" w:color="auto"/>
            </w:tcBorders>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 — BellRing (Corporate)</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$1,814.9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6"/>
              </w:rPr>
              <w:t>1,910.4</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1,958.2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1,996.2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38"/>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 BellRing (Corporate)</w:t>
            </w:r>
            <w:r>
              <w:rPr>
                <w:rFonts w:ascii="Times New Roman" w:cs="Times New Roman" w:eastAsia="Times New Roman" w:hAnsi="Times New Roman"/>
                <w:sz w:val="26"/>
                <w:szCs w:val="26"/>
                <w:color w:val="auto"/>
                <w:vertAlign w:val="superscript"/>
              </w:rPr>
              <w:t>(2)</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$ 364.33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383.5</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440.2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 — Premier Nutrition (Business Unit)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$1,747.5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6"/>
              </w:rPr>
              <w:t>1,839.5</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1,885.5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98"/>
              </w:rPr>
              <w:t>1,925.77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82"/>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 Premier Nutrition (Business Unit)</w:t>
            </w:r>
            <w:r>
              <w:rPr>
                <w:rFonts w:ascii="Times New Roman" w:cs="Times New Roman" w:eastAsia="Times New Roman" w:hAnsi="Times New Roman"/>
                <w:sz w:val="26"/>
                <w:szCs w:val="26"/>
                <w:color w:val="auto"/>
                <w:vertAlign w:val="superscript"/>
              </w:rPr>
              <w:t>(3)</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$ 380.48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400.5</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458.3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9"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evaluating financial goals/results, the Committee generally excludes non-recurring or extraordinary items.</w:t>
      </w:r>
    </w:p>
    <w:p>
      <w:pPr>
        <w:spacing w:after="0" w:line="27"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EBITDA-BellRing (Corporate) is a non-GAAP measure which represents the consolidated net earnings of the Company from the Company’s Annual Report on Form 10-K, excluding income tax expense, net interest expense, depreciation and amortization, non-cash stock-based compensation, and foreign currency gain/loss on intercompany loans. See “Explanation and Reconciliation of Non-GAAP Measures” beginning on page 8 of the Company’s earnings release dated November 18, 2024 and furnished as Exhibit 99.1 to the Company’s Current Report on Form 8-K as furnished to the SEC on November 18, 2024.</w:t>
      </w:r>
    </w:p>
    <w:p>
      <w:pPr>
        <w:spacing w:after="0" w:line="1"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EBITDA-Premier Nutrition (Business Unit) is a non-GAAP measure which represents the net earnings of the Premier Nutrition business unit, excluding income tax expense, net interest expense, depreciation and amortization (including accelerated depreciation and amortization) and intercompany royalty income. We believe that Adjusted EBITDA for the Premier Nutrition business unit, a non-GAAP financial measure, is useful to investors in evaluating the Premier Nutrition business unit’s operating performance and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the Premier Nutrition business unit’s capital structure and the method by which the assets were acquired and (iii) it is a financial indicator of a company’s ability to service its debt, as the Premier Nutrition business unit is required to comply with certain covenants and limitations that are based on variations of EBITDA in its financing documents. Management uses Adjusted EBITDA to provide forward-looking guidance and to forecast future results.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EBITDA for the Premier Nutrition business unit is adjusted for the following items:</w:t>
      </w:r>
    </w:p>
    <w:p>
      <w:pPr>
        <w:spacing w:after="0" w:line="129" w:lineRule="exact"/>
        <w:rPr>
          <w:sz w:val="20"/>
          <w:szCs w:val="20"/>
          <w:color w:val="auto"/>
        </w:rPr>
      </w:pPr>
    </w:p>
    <w:p>
      <w:pPr>
        <w:ind w:left="1080" w:right="28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amortization</w:t>
      </w:r>
      <w:r>
        <w:rPr>
          <w:rFonts w:ascii="Times New Roman" w:cs="Times New Roman" w:eastAsia="Times New Roman" w:hAnsi="Times New Roman"/>
          <w:sz w:val="18"/>
          <w:szCs w:val="18"/>
          <w:color w:val="auto"/>
        </w:rPr>
        <w:t>: We have excluded non-cash accelerated amortization charges recorded in connection with discontinuance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brands as the amount and frequency of such charges are not consistent. Additionally, we believe that these charges do not reflect expected ongoing future operating expenses and do not contribute to a meaningful evaluation of the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legal settlements</w:t>
      </w:r>
      <w:r>
        <w:rPr>
          <w:rFonts w:ascii="Times New Roman" w:cs="Times New Roman" w:eastAsia="Times New Roman" w:hAnsi="Times New Roman"/>
          <w:sz w:val="18"/>
          <w:szCs w:val="18"/>
          <w:color w:val="auto"/>
        </w:rPr>
        <w:t>: We have excluded gains and losses recorded to recognize the anticipated or actual resolution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as we believe such gains and losses do not reflect expected ongoing future operating income and expenses and do not contribute to a meaningful evaluation of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Intercompany royalty income</w:t>
      </w:r>
      <w:r>
        <w:rPr>
          <w:rFonts w:ascii="Times New Roman" w:cs="Times New Roman" w:eastAsia="Times New Roman" w:hAnsi="Times New Roman"/>
          <w:sz w:val="18"/>
          <w:szCs w:val="18"/>
          <w:color w:val="auto"/>
        </w:rPr>
        <w:t>: We have excluded Intercompany Royalty Income received from ANI related to the use of the ‘Premier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and ‘Dymatize’ brands by ANI, as we believe such income does not contribute to a meaningful evaluation of the Premier Nutrition business unit’s current operating performance or comparisons of its operating performance to other periods.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Adjusted EBITDA for the Premier Nutrition business unit to the most directly comparable GAAP measure.</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before Income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25"/>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including accelerated depreciation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settlements</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royalty income</w:t>
            </w: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At its November 2024 meeting, the Committee reviewed and confirmed the Company’s performance for each of the performance metrics. The Committee then determined the achievement percentage associated with each metric by interpolating actual performance within the applicable performance range.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approved fiscal year 2024 performance results above and the results of the Committee’s comprehensive financial review,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approved the following bonus amounts: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80" w:type="dxa"/>
            <w:vAlign w:val="bottom"/>
            <w:gridSpan w:val="2"/>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80" w:type="dxa"/>
            <w:vAlign w:val="bottom"/>
            <w:gridSpan w:val="2"/>
          </w:tcPr>
          <w:p>
            <w:pPr>
              <w:jc w:val="center"/>
              <w:ind w:left="575"/>
              <w:spacing w:after="0" w:line="149" w:lineRule="exact"/>
              <w:rPr>
                <w:sz w:val="20"/>
                <w:szCs w:val="20"/>
                <w:color w:val="auto"/>
              </w:rPr>
            </w:pPr>
            <w:r>
              <w:rPr>
                <w:rFonts w:ascii="Times New Roman" w:cs="Times New Roman" w:eastAsia="Times New Roman" w:hAnsi="Times New Roman"/>
                <w:sz w:val="14"/>
                <w:szCs w:val="14"/>
                <w:b w:val="1"/>
                <w:bCs w:val="1"/>
                <w:color w:val="auto"/>
              </w:rPr>
              <w:t>Target Bonus</w:t>
            </w: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Actual Bonus</w:t>
            </w:r>
          </w:p>
        </w:tc>
        <w:tc>
          <w:tcPr>
            <w:tcW w:w="72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2024 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4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720" w:type="dxa"/>
            <w:vAlign w:val="bottom"/>
          </w:tcPr>
          <w:p>
            <w:pPr>
              <w:spacing w:after="0"/>
              <w:rPr>
                <w:sz w:val="12"/>
                <w:szCs w:val="12"/>
                <w:color w:val="auto"/>
              </w:rPr>
            </w:pPr>
          </w:p>
        </w:tc>
        <w:tc>
          <w:tcPr>
            <w:tcW w:w="84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7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6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40" w:type="dxa"/>
            <w:vAlign w:val="bottom"/>
            <w:tcBorders>
              <w:top w:val="single" w:sz="8" w:color="auto"/>
            </w:tcBorders>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660" w:type="dxa"/>
            <w:vAlign w:val="bottom"/>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Chairman of the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 — Regular Fiscal Year 2024 Equity Grants</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Committee considers both competitive external market data provided by Aon and internal alignment to assist with targeted long-term incentive values. In addition, the Committee considers individual performance, potential future contributions to our business, and recommendations from our President and Chief Executive Officer with respect to the other NEOs.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our regular fiscal year 2024 equity grants, we determined it was in our stockholders’ best interests to grant 100% performance restricted stock units (PRSU) to all of our Named Executive Officers, except Mr. Vitale because the Company committed to no additional equity grants during the three-year term of his fiscal year 2022 equity grants.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target LTI values were approved for the regular fiscal year 2024 equity grants: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2024 PRSU</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line="283"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3,300,000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570,000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Mr. Vitale did not receive a fiscal year 2024 equity grant.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Our PRSU program measures three-year cumulative TSR performance against the Russell 3000 Food Products companies (37 companies at the beginning of the performance period for the fiscal year 2024 PRSU grant). This program focuses our executives’ behaviors on long-term decision-making that enhances stockholder value. Relative TSR filters out macroeconomic and other factors that are not within management’s control. Each PRSU earned is settled with a share of the Company’s common stock following the completion of the three-year performance period. For the fiscal year 2024 PRSU grants, shares as a percentage of target may be earned on a sliding scale as follows: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BRBR’s Relative</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3-Year TSR</w:t>
            </w: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Vesting</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00" w:type="dxa"/>
            <w:vAlign w:val="bottom"/>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&gt;85</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 of target</w:t>
            </w:r>
          </w:p>
        </w:tc>
        <w:tc>
          <w:tcPr>
            <w:tcW w:w="0" w:type="dxa"/>
            <w:vAlign w:val="bottom"/>
          </w:tcPr>
          <w:p>
            <w:pPr>
              <w:spacing w:after="0"/>
              <w:rPr>
                <w:sz w:val="1"/>
                <w:szCs w:val="1"/>
                <w:color w:val="auto"/>
              </w:rPr>
            </w:pPr>
          </w:p>
        </w:tc>
      </w:tr>
      <w:tr>
        <w:trPr>
          <w:trHeight w:val="338"/>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of target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50</w:t>
            </w:r>
            <w:r>
              <w:rPr>
                <w:rFonts w:ascii="Times New Roman" w:cs="Times New Roman" w:eastAsia="Times New Roman" w:hAnsi="Times New Roman"/>
                <w:sz w:val="13"/>
                <w:szCs w:val="13"/>
                <w:color w:val="auto"/>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of target</w:t>
            </w:r>
          </w:p>
        </w:tc>
        <w:tc>
          <w:tcPr>
            <w:tcW w:w="0" w:type="dxa"/>
            <w:vAlign w:val="bottom"/>
          </w:tcPr>
          <w:p>
            <w:pPr>
              <w:spacing w:after="0"/>
              <w:rPr>
                <w:sz w:val="1"/>
                <w:szCs w:val="1"/>
                <w:color w:val="auto"/>
              </w:rPr>
            </w:pPr>
          </w:p>
        </w:tc>
      </w:tr>
      <w:tr>
        <w:trPr>
          <w:trHeight w:val="338"/>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6"/>
                <w:szCs w:val="26"/>
                <w:color w:val="auto"/>
                <w:vertAlign w:val="superscript"/>
              </w:rPr>
              <w:t>th</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of target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between points is interpolated on a straight-line basis.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bullets summarize the fiscal year 2024 PRSU grant design parameters: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period: </w:t>
      </w:r>
      <w:r>
        <w:rPr>
          <w:rFonts w:ascii="Times New Roman" w:cs="Times New Roman" w:eastAsia="Times New Roman" w:hAnsi="Times New Roman"/>
          <w:sz w:val="18"/>
          <w:szCs w:val="18"/>
          <w:color w:val="auto"/>
        </w:rPr>
        <w:t>October 1, 2023 through September 30,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requirements and payout opportunities: </w:t>
      </w:r>
      <w:r>
        <w:rPr>
          <w:rFonts w:ascii="Times New Roman" w:cs="Times New Roman" w:eastAsia="Times New Roman" w:hAnsi="Times New Roman"/>
          <w:sz w:val="18"/>
          <w:szCs w:val="18"/>
          <w:color w:val="auto"/>
        </w:rPr>
        <w:t>Please refer to the chart above.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Russell 3000 Food Products companies; acquired companies are removed from the rankings; bankruptcies are dropped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bottom ranking.</w:t>
      </w:r>
    </w:p>
    <w:p>
      <w:pPr>
        <w:spacing w:after="0" w:line="60" w:lineRule="exact"/>
        <w:rPr>
          <w:rFonts w:ascii="Times New Roman" w:cs="Times New Roman" w:eastAsia="Times New Roman" w:hAnsi="Times New Roman"/>
          <w:sz w:val="18"/>
          <w:szCs w:val="18"/>
          <w:color w:val="auto"/>
        </w:rPr>
      </w:pPr>
    </w:p>
    <w:p>
      <w:pPr>
        <w:ind w:left="1080" w:right="480" w:hanging="424"/>
        <w:spacing w:after="0" w:line="286"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Beginning and ending values: </w:t>
      </w:r>
      <w:r>
        <w:rPr>
          <w:rFonts w:ascii="Times New Roman" w:cs="Times New Roman" w:eastAsia="Times New Roman" w:hAnsi="Times New Roman"/>
          <w:sz w:val="18"/>
          <w:szCs w:val="18"/>
          <w:color w:val="auto"/>
        </w:rPr>
        <w:t>Beginning and ending values are based on the 30-day VWAP immediately prior to and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first/last day of the performance period to mitigate any short- term swings in stock price at either end.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Re-invested on the ex-dividend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Negative three-year TSR: </w:t>
      </w:r>
      <w:r>
        <w:rPr>
          <w:rFonts w:ascii="Times New Roman" w:cs="Times New Roman" w:eastAsia="Times New Roman" w:hAnsi="Times New Roman"/>
          <w:sz w:val="18"/>
          <w:szCs w:val="18"/>
          <w:color w:val="auto"/>
        </w:rPr>
        <w:t>If BellRing has a negative three-year TSR, then payout is capped at 100% of target, regardless of ranking.</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number of PRSUs awarded in accordance with the sliding scale set forth above will vest following the end of the three-year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No PRSUs will vest during the performance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140"/>
        <w:spacing w:after="0" w:line="266" w:lineRule="auto"/>
        <w:rPr>
          <w:sz w:val="20"/>
          <w:szCs w:val="20"/>
          <w:color w:val="auto"/>
        </w:rPr>
      </w:pPr>
      <w:r>
        <w:rPr>
          <w:rFonts w:ascii="Times New Roman" w:cs="Times New Roman" w:eastAsia="Times New Roman" w:hAnsi="Times New Roman"/>
          <w:sz w:val="18"/>
          <w:szCs w:val="18"/>
          <w:color w:val="auto"/>
        </w:rPr>
        <w:t>period, with limited exceptions in cases of death, disability or involuntary termination of employment associated with a change in control of the Company (or absent an involuntary termination, failure of the acquirer in a change in control to assume, on substantially the same terms, the PRSUs).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 — Special Fiscal Year 2024 Equity Grants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Committee views special grants as an important way to meet the Company’s needs for a specific purpose or during a specific period, and only uses them in a very limited and judicious way.</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Attracting and retaining executive talent of the caliber of our leaders, and maintaining a stable, consistent team, are both extremely challenging and vitally important. Our ability to execute our strategy, our future success and the promotion and protection of the interest of our stockholders depend largely on our continuing ability to retain highly qualified and skilled executive leaders.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Committee determined that it was aligned with the Company’s long-term strategic goals and in the best interest of the Company and our stockholders to make certain special grants to our NEOs.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Committee approved special equity grants in an enhanced amount to our NEOs to (1) recognize the Company’s extraordinary financial and long-term TSR performance since becoming a public company, (2) recognize the NEOs’ exceptional leadership in navigating a challenging period of product capacity constraints during the past two years, delivering results that exceeded established goals and (3) enhance retention for a critical period of growth for our Company over the next three years.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pay-for-performance philosophy, the special equity grants consisted of 50% PRSU target value and 50% RSU value. The performance requirements, the performance period, the termination provisions, and the payout opportunities for the PRSUs are the same as our regular grants described above. The PRSUs and RSUs cliff vest 100% on the third anniversary of the grant date, subject to continued employment, which further strengthens the alignment of interests between our executive officers and our stockholders.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value of the special grants ultimately earned depends on the price of BellRing shares and is subject to the Company’s stock ownership guidelines, which, as discussed below, require executive officers to hold a multiple of their base salary in Company equity, to further strengthen the alignment of interests between the executive officers and our stockholders. A recipient is also subject to our “clawback” policy.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target LTI values were approved for the special fiscal year 2024 equity grants: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PRSU Value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RSU Value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Singh</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Other Compensation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stock ownership guidelines applicable to non-employee directors and Section 16 officers. Our Board of Directors believes it is in the best interests of the Company and our stockholders to align the financial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interests of Section 16 officers and non-employee directors with those of our stockholders. Our guideline structure is as follows:</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and Non-Executive Directors — 5 times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 6 times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 2 times base salary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Participants are expected to comply with the ownership requirements within five years of an appointment to a qualified position.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2024, all participants are still within the five-year timeframe for compliance. The categories of stock ownership that satisfy the ownership</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criteria include:</w:t>
      </w:r>
    </w:p>
    <w:p>
      <w:pPr>
        <w:spacing w:after="0" w:line="112"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 or indirectly (e.g. by spouse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represented by amounts invested in the BellRing Brands 401(k) Plan;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equivalents, including deferred stock units and deferred compensation, payable under our deferred compensation plans.</w:t>
      </w:r>
    </w:p>
    <w:p>
      <w:pPr>
        <w:spacing w:after="0" w:line="225"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Unvested performance-based RSUs are not included when determining compliance with the guidelines. Additionally, unvested stock options/SARs and vested but unexercised stock options/SARs are not included when determining compliance with the guidelines. The Committee is responsible for monitoring the application of the stock ownership guidelines and may modify the guidelines in its discretion, including as a result of dramatic or unexpected changes in the market value of BellRing common stock. The Committee has the discretion to enforce these stock ownership guidelines on a case-by-case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Recoupment (“Clawback”) Policy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have an executive compensation “clawback” policy in connection with incentive compensation. The clawback policy provides that, in the event the Company is required to prepare an accounting restatement of its financial statements due to the Company’s material noncompliance with any financial reporting requirement under the securities laws, the Committee, to the extent allowable under applicable law, has the authority to promptly recoup any incentive compensation paid to a current or former executive officer, including Section 16 officers, during the three-year period preceding the restatement if the restatement (1) would result in the payment of a reduced award if the award were recalculated based on the restated results or (2) would result in a material misstatement if the error were corrected in the current period or left uncorrected in the current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Policy on Hedging and Pledging Company Stock</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a policy that prohibits directors and executive officers from engaging in derivative or hedging transactions in the Company’s securities and prohibits pledging of shares by directors and executive officers. See the section </w:t>
      </w:r>
      <w:r>
        <w:rPr>
          <w:rFonts w:ascii="Times New Roman" w:cs="Times New Roman" w:eastAsia="Times New Roman" w:hAnsi="Times New Roman"/>
          <w:sz w:val="18"/>
          <w:szCs w:val="18"/>
          <w:i w:val="1"/>
          <w:iCs w:val="1"/>
          <w:color w:val="auto"/>
        </w:rPr>
        <w:t>Corporate Governance — Policy on Hedging and Pledging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Stock </w:t>
      </w:r>
      <w:r>
        <w:rPr>
          <w:rFonts w:ascii="Times New Roman" w:cs="Times New Roman" w:eastAsia="Times New Roman" w:hAnsi="Times New Roman"/>
          <w:sz w:val="18"/>
          <w:szCs w:val="18"/>
          <w:color w:val="auto"/>
        </w:rPr>
        <w:t>on page 12 for further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Committee is responsible for overseeing the risks relating to compensation policies and practices affecting senior management on an ongoing basis. Aon performs a periodic compensation risk assessment for the Company and determined that our governance policies and compensation structure result in a compensation system that is not reasonably likely to lead to management decisions that would have a material adverse effect on the Company. The following features of our programs mitigate this risk:</w:t>
      </w:r>
    </w:p>
    <w:p>
      <w:pPr>
        <w:spacing w:after="0" w:line="85" w:lineRule="exact"/>
        <w:rPr>
          <w:sz w:val="20"/>
          <w:szCs w:val="20"/>
          <w:color w:val="auto"/>
        </w:rPr>
      </w:pPr>
    </w:p>
    <w:p>
      <w:pPr>
        <w:ind w:left="5540" w:right="216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retains an independent compensation consultant to assist with annual compensation decisions; 43</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approves the Senior Management Bonus Program financial goals at the start of the fiscal year, and approves the performance achievement level and final payments earned after the end of the fiscal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2024, the Senior Management Bonus Program capped potential payouts at 150% of the target opportunity;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mix of cash and equity incentive programs, and all equity awards granted to our named executive officers are subject to multi-year vesting;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diversity of equity award types;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competitive general and change-in-control severance programs to help ensure executives continue to work towards our stockholders’ best interests in light of potential employment uncertainty;</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subject to minimum stock ownership guidelines and limitations on trading in our securities, including prohibitions on hedging and pledging;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clawback policy permits the Company to recoup compensation paid on the basis of financial results that are subsequently restated.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Deductibility of Compensation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Committee considers the anticipated tax consequences (and, when relevant, to our executive officers) of the various payments under our compensation programs. Section 162(m) of the Code generally disallows a tax deduction for any publicly held corporation for individual compensation of more than $1 million in any taxable year to certain executives. The Committee, after considering the potential impact of the application of Section 162(m) of the Code, may provide compensation to executives that may not be tax deductible if it believes that providing that compensation is in the best interests of the Company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Control and Involuntary Termination Treatment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our named executive officers other than Mr. Vitale that provides for certain benefits to our executive officers (other than Mr. Vitale) in the event of an involuntary termination without cause or relating to a change in control or upon an executive officer’s death or disability. We believe these benefits are customary among the company’s peers and are fair to the executives and to our stockholders. For more information about potential payments to our named executive officers pursuant to these Severance and Change in Control Agreements, see “Executive Compensation — Potential Payments Upon Termination of Employment or Change in Control.”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2024</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fiscal year 2024, the Committee reviewed competitive peer company board of director compensation market data provided by Aon. For fiscal year 2024, we modified our annual RSU grant to $125,000 and our annual board retainer to $70,000 to maintain a competitive total compensation posture. The chairperson of our Audit Committee received an additional annual retainer of $20,000, and the chairperson of our Corporate Governance and Compensation Committee received an additional annual retainer of $15,000. Other members of our Audit Committee received an additional annual retainer of $10,000, and other members of our Corporate Governance and Compensation Committee received an additional annual retainer of $7,500. The independent lead director of our Board received an additional annual retainer of $20,000.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RSU grants fully vest on the first anniversary of the date of grant. In addition, all awards fully vest at the director’s disability or death.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may elect to defer settlement of RSUs until separation from service.</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our Deferred Compensation Plan for Directors, any non-management director may elect to defer, with certain limitations, his or her retainer. Deferred compensation may be notionally invested in BellRing common stock equivalents or in a number of mutual funds operated by The Vanguard Group Inc. with a variety of investment strategies and objectives. Deferrals in our common stock equivalents receive a 33 and 1/3% Company matching contribution, also credited in BellRing common stock equivalents. Balances are paid upon leaving the Board of Directors, generally in cash, in one of three ways: (1) lump sum payout; (2) five-year installments or (3) ten-year installments.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receive no additional compensation for serving as directors.</w:t>
      </w:r>
    </w:p>
    <w:p>
      <w:pPr>
        <w:spacing w:after="0" w:line="223"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Certain Other Compensation Policies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Guidelines </w:t>
      </w:r>
      <w:r>
        <w:rPr>
          <w:rFonts w:ascii="Times New Roman" w:cs="Times New Roman" w:eastAsia="Times New Roman" w:hAnsi="Times New Roman"/>
          <w:sz w:val="18"/>
          <w:szCs w:val="18"/>
          <w:color w:val="auto"/>
        </w:rPr>
        <w:t>for more detail.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our fiscal year 2024, the Corporate Governance and Compensation Committee was composed of Messrs. Stein and Erickson and</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Ms. Kuperman Johnson. There are no relationships involving the members of our Corporate Governance and Compensation Committee or our executive officers that are required to be disclosed under Item 407(e)(4) of Regulation S-K.</w:t>
      </w: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has reviewed the Compensation Discussion and Analysis and discussed that Analysis with management. Based on its review and discussions with management, the Corporate Governance and Compensation Committee recommended to the Board of Directors that the Compensation Discussion and Analysis be included in this Proxy Statement (and incorporated by reference into the Company’s 2024 Annual Report). This report is provided by the following independent directors, who comprise all of the members of the Corporate Governance and Compensation Committee: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Elliot H. Stein, Jr.,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the total compensation earned during fiscal 2024, fiscal 2023 and fiscal 2022 by our named executive officers: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2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Bonus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4"/>
        </w:trPr>
        <w:tc>
          <w:tcPr>
            <w:tcW w:w="39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7"/>
                <w:szCs w:val="17"/>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9"/>
                <w:szCs w:val="9"/>
                <w:b w:val="1"/>
                <w:bCs w:val="1"/>
                <w:color w:val="auto"/>
              </w:rPr>
              <w:t>(2)</w:t>
            </w:r>
          </w:p>
        </w:tc>
        <w:tc>
          <w:tcPr>
            <w:tcW w:w="220" w:type="dxa"/>
            <w:vAlign w:val="bottom"/>
          </w:tcPr>
          <w:p>
            <w:pPr>
              <w:spacing w:after="0"/>
              <w:rPr>
                <w:sz w:val="17"/>
                <w:szCs w:val="17"/>
                <w:color w:val="auto"/>
              </w:rPr>
            </w:pPr>
          </w:p>
        </w:tc>
        <w:tc>
          <w:tcPr>
            <w:tcW w:w="54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20"/>
                <w:szCs w:val="20"/>
                <w:b w:val="1"/>
                <w:bCs w:val="1"/>
                <w:color w:val="auto"/>
                <w:w w:val="91"/>
                <w:vertAlign w:val="superscript"/>
              </w:rPr>
              <w:t>(4)</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w w:val="94"/>
                <w:vertAlign w:val="subscript"/>
              </w:rPr>
              <w:t>($)</w:t>
            </w:r>
            <w:r>
              <w:rPr>
                <w:rFonts w:ascii="Times New Roman" w:cs="Times New Roman" w:eastAsia="Times New Roman" w:hAnsi="Times New Roman"/>
                <w:sz w:val="9"/>
                <w:szCs w:val="9"/>
                <w:b w:val="1"/>
                <w:bCs w:val="1"/>
                <w:color w:val="auto"/>
                <w:w w:val="94"/>
              </w:rPr>
              <w:t>(5)</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9"/>
                <w:szCs w:val="9"/>
                <w:b w:val="1"/>
                <w:bCs w:val="1"/>
                <w:color w:val="auto"/>
              </w:rPr>
              <w:t>(6)</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15"/>
                <w:szCs w:val="15"/>
                <w:color w:val="auto"/>
              </w:rPr>
              <w:t>Robert V. Vitale</w:t>
            </w:r>
            <w:r>
              <w:rPr>
                <w:rFonts w:ascii="Times New Roman" w:cs="Times New Roman" w:eastAsia="Times New Roman" w:hAnsi="Times New Roman"/>
                <w:sz w:val="22"/>
                <w:szCs w:val="22"/>
                <w:color w:val="auto"/>
                <w:vertAlign w:val="superscript"/>
              </w:rPr>
              <w:t>(1)</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Chairman</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2023</w:t>
            </w:r>
          </w:p>
        </w:tc>
        <w:tc>
          <w:tcPr>
            <w:tcW w:w="680" w:type="dxa"/>
            <w:vAlign w:val="bottom"/>
            <w:gridSpan w:val="2"/>
            <w:shd w:val="clear" w:color="auto" w:fill="CCEEFF"/>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6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shd w:val="clear" w:color="auto" w:fill="CCEEFF"/>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2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8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ind w:left="6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shd w:val="clear" w:color="auto" w:fill="CCEEFF"/>
          </w:tcPr>
          <w:p>
            <w:pPr>
              <w:ind w:left="5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2022</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14,935,000</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14,935,000</w:t>
            </w:r>
          </w:p>
        </w:tc>
        <w:tc>
          <w:tcPr>
            <w:tcW w:w="0" w:type="dxa"/>
            <w:vAlign w:val="bottom"/>
          </w:tcPr>
          <w:p>
            <w:pPr>
              <w:spacing w:after="0"/>
              <w:rPr>
                <w:sz w:val="1"/>
                <w:szCs w:val="1"/>
                <w:color w:val="auto"/>
              </w:rPr>
            </w:pPr>
          </w:p>
        </w:tc>
      </w:tr>
      <w:tr>
        <w:trPr>
          <w:trHeight w:val="249"/>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Darcy Horn Davenport</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750,000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7,499,798</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1,406,250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144,511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101,094</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9,901,653</w:t>
            </w:r>
          </w:p>
        </w:tc>
        <w:tc>
          <w:tcPr>
            <w:tcW w:w="0" w:type="dxa"/>
            <w:vAlign w:val="bottom"/>
          </w:tcPr>
          <w:p>
            <w:pPr>
              <w:spacing w:after="0"/>
              <w:rPr>
                <w:sz w:val="1"/>
                <w:szCs w:val="1"/>
                <w:color w:val="auto"/>
              </w:rPr>
            </w:pPr>
          </w:p>
        </w:tc>
      </w:tr>
      <w:tr>
        <w:trPr>
          <w:trHeight w:val="166"/>
        </w:trPr>
        <w:tc>
          <w:tcPr>
            <w:tcW w:w="3920" w:type="dxa"/>
            <w:vAlign w:val="bottom"/>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President and Chief Executive Officer</w:t>
            </w:r>
          </w:p>
        </w:tc>
        <w:tc>
          <w:tcPr>
            <w:tcW w:w="600" w:type="dxa"/>
            <w:vAlign w:val="bottom"/>
            <w:gridSpan w:val="3"/>
          </w:tcPr>
          <w:p>
            <w:pPr>
              <w:ind w:left="80"/>
              <w:spacing w:after="0" w:line="166" w:lineRule="exact"/>
              <w:rPr>
                <w:sz w:val="20"/>
                <w:szCs w:val="20"/>
                <w:color w:val="auto"/>
              </w:rPr>
            </w:pPr>
            <w:r>
              <w:rPr>
                <w:rFonts w:ascii="Times New Roman" w:cs="Times New Roman" w:eastAsia="Times New Roman" w:hAnsi="Times New Roman"/>
                <w:sz w:val="15"/>
                <w:szCs w:val="15"/>
                <w:color w:val="auto"/>
              </w:rPr>
              <w:t>2023</w:t>
            </w:r>
          </w:p>
        </w:tc>
        <w:tc>
          <w:tcPr>
            <w:tcW w:w="68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700,000</w:t>
            </w:r>
          </w:p>
        </w:tc>
        <w:tc>
          <w:tcPr>
            <w:tcW w:w="46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line="166" w:lineRule="exact"/>
              <w:rPr>
                <w:sz w:val="20"/>
                <w:szCs w:val="20"/>
                <w:color w:val="auto"/>
              </w:rPr>
            </w:pPr>
            <w:r>
              <w:rPr>
                <w:rFonts w:ascii="Times New Roman" w:cs="Times New Roman" w:eastAsia="Times New Roman" w:hAnsi="Times New Roman"/>
                <w:sz w:val="15"/>
                <w:szCs w:val="15"/>
                <w:color w:val="auto"/>
              </w:rPr>
              <w:t>5,105,600</w:t>
            </w:r>
          </w:p>
        </w:tc>
        <w:tc>
          <w:tcPr>
            <w:tcW w:w="680" w:type="dxa"/>
            <w:vAlign w:val="bottom"/>
            <w:gridSpan w:val="2"/>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875,000</w:t>
            </w:r>
          </w:p>
        </w:tc>
        <w:tc>
          <w:tcPr>
            <w:tcW w:w="98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73,969</w:t>
            </w:r>
          </w:p>
        </w:tc>
        <w:tc>
          <w:tcPr>
            <w:tcW w:w="98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47,335</w:t>
            </w:r>
          </w:p>
        </w:tc>
        <w:tc>
          <w:tcPr>
            <w:tcW w:w="78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6,801,904</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2022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625,000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3,286,834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165,934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944,125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24,120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5,046,013</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5"/>
                <w:szCs w:val="15"/>
                <w:color w:val="auto"/>
              </w:rPr>
              <w:t>Paul A. Rode</w:t>
            </w:r>
          </w:p>
        </w:tc>
        <w:tc>
          <w:tcPr>
            <w:tcW w:w="600" w:type="dxa"/>
            <w:vAlign w:val="bottom"/>
            <w:gridSpan w:val="3"/>
            <w:shd w:val="clear" w:color="auto" w:fill="CCEEFF"/>
          </w:tcPr>
          <w:p>
            <w:pPr>
              <w:ind w:left="80"/>
              <w:spacing w:after="0" w:line="141" w:lineRule="exact"/>
              <w:rPr>
                <w:sz w:val="20"/>
                <w:szCs w:val="20"/>
                <w:color w:val="auto"/>
              </w:rPr>
            </w:pPr>
            <w:r>
              <w:rPr>
                <w:rFonts w:ascii="Times New Roman" w:cs="Times New Roman" w:eastAsia="Times New Roman" w:hAnsi="Times New Roman"/>
                <w:sz w:val="15"/>
                <w:szCs w:val="15"/>
                <w:color w:val="auto"/>
              </w:rPr>
              <w:t>2024</w:t>
            </w:r>
          </w:p>
        </w:tc>
        <w:tc>
          <w:tcPr>
            <w:tcW w:w="68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5"/>
                <w:szCs w:val="15"/>
                <w:color w:val="auto"/>
              </w:rPr>
              <w:t>500,000</w:t>
            </w:r>
          </w:p>
        </w:tc>
        <w:tc>
          <w:tcPr>
            <w:tcW w:w="460" w:type="dxa"/>
            <w:vAlign w:val="bottom"/>
            <w:gridSpan w:val="2"/>
            <w:shd w:val="clear" w:color="auto" w:fill="CCEEFF"/>
          </w:tcPr>
          <w:p>
            <w:pPr>
              <w:ind w:left="140"/>
              <w:spacing w:after="0" w:line="141"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5"/>
                <w:szCs w:val="15"/>
                <w:color w:val="auto"/>
              </w:rPr>
              <w:t>1,949,955</w:t>
            </w:r>
          </w:p>
        </w:tc>
        <w:tc>
          <w:tcPr>
            <w:tcW w:w="680" w:type="dxa"/>
            <w:vAlign w:val="bottom"/>
            <w:gridSpan w:val="2"/>
            <w:shd w:val="clear" w:color="auto" w:fill="CCEEFF"/>
          </w:tcPr>
          <w:p>
            <w:pPr>
              <w:ind w:left="300"/>
              <w:spacing w:after="0" w:line="141"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5"/>
                <w:szCs w:val="15"/>
                <w:color w:val="auto"/>
              </w:rPr>
              <w:t>562,500</w:t>
            </w:r>
          </w:p>
        </w:tc>
        <w:tc>
          <w:tcPr>
            <w:tcW w:w="98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5"/>
                <w:szCs w:val="15"/>
                <w:color w:val="auto"/>
              </w:rPr>
              <w:t>36,992</w:t>
            </w:r>
          </w:p>
        </w:tc>
        <w:tc>
          <w:tcPr>
            <w:tcW w:w="98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5"/>
                <w:szCs w:val="15"/>
                <w:color w:val="auto"/>
              </w:rPr>
              <w:t>21,803</w:t>
            </w:r>
          </w:p>
        </w:tc>
        <w:tc>
          <w:tcPr>
            <w:tcW w:w="78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5"/>
                <w:szCs w:val="15"/>
                <w:color w:val="auto"/>
              </w:rPr>
              <w:t>3,071,250</w:t>
            </w: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2023</w:t>
            </w:r>
          </w:p>
        </w:tc>
        <w:tc>
          <w:tcPr>
            <w:tcW w:w="68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455,000</w:t>
            </w:r>
          </w:p>
        </w:tc>
        <w:tc>
          <w:tcPr>
            <w:tcW w:w="460" w:type="dxa"/>
            <w:vAlign w:val="bottom"/>
            <w:gridSpan w:val="2"/>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line="166" w:lineRule="exact"/>
              <w:rPr>
                <w:sz w:val="20"/>
                <w:szCs w:val="20"/>
                <w:color w:val="auto"/>
              </w:rPr>
            </w:pPr>
            <w:r>
              <w:rPr>
                <w:rFonts w:ascii="Times New Roman" w:cs="Times New Roman" w:eastAsia="Times New Roman" w:hAnsi="Times New Roman"/>
                <w:sz w:val="15"/>
                <w:szCs w:val="15"/>
                <w:color w:val="auto"/>
              </w:rPr>
              <w:t>1,089,182</w:t>
            </w:r>
          </w:p>
        </w:tc>
        <w:tc>
          <w:tcPr>
            <w:tcW w:w="680" w:type="dxa"/>
            <w:vAlign w:val="bottom"/>
            <w:gridSpan w:val="2"/>
            <w:shd w:val="clear" w:color="auto" w:fill="CCEEFF"/>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295,750</w:t>
            </w:r>
          </w:p>
        </w:tc>
        <w:tc>
          <w:tcPr>
            <w:tcW w:w="98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17,992</w:t>
            </w:r>
          </w:p>
        </w:tc>
        <w:tc>
          <w:tcPr>
            <w:tcW w:w="98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20,904</w:t>
            </w:r>
          </w:p>
        </w:tc>
        <w:tc>
          <w:tcPr>
            <w:tcW w:w="78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1,878,828</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420,000</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764,319</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31,264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317,226</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19,316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1,552,125</w:t>
            </w:r>
          </w:p>
        </w:tc>
        <w:tc>
          <w:tcPr>
            <w:tcW w:w="0" w:type="dxa"/>
            <w:vAlign w:val="bottom"/>
          </w:tcPr>
          <w:p>
            <w:pPr>
              <w:spacing w:after="0"/>
              <w:rPr>
                <w:sz w:val="1"/>
                <w:szCs w:val="1"/>
                <w:color w:val="auto"/>
              </w:rPr>
            </w:pPr>
          </w:p>
        </w:tc>
      </w:tr>
      <w:tr>
        <w:trPr>
          <w:trHeight w:val="249"/>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Douglas J. Cornille</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460,000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1,769,968</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517,500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23,748</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19,237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2,790,453</w:t>
            </w:r>
          </w:p>
        </w:tc>
        <w:tc>
          <w:tcPr>
            <w:tcW w:w="0" w:type="dxa"/>
            <w:vAlign w:val="bottom"/>
          </w:tcPr>
          <w:p>
            <w:pPr>
              <w:spacing w:after="0"/>
              <w:rPr>
                <w:sz w:val="1"/>
                <w:szCs w:val="1"/>
                <w:color w:val="auto"/>
              </w:rPr>
            </w:pPr>
          </w:p>
        </w:tc>
      </w:tr>
      <w:tr>
        <w:trPr>
          <w:trHeight w:val="166"/>
        </w:trPr>
        <w:tc>
          <w:tcPr>
            <w:tcW w:w="3920" w:type="dxa"/>
            <w:vAlign w:val="bottom"/>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Growth Officer - Premier Nutrition</w:t>
            </w:r>
          </w:p>
        </w:tc>
        <w:tc>
          <w:tcPr>
            <w:tcW w:w="600" w:type="dxa"/>
            <w:vAlign w:val="bottom"/>
            <w:gridSpan w:val="3"/>
          </w:tcPr>
          <w:p>
            <w:pPr>
              <w:ind w:left="80"/>
              <w:spacing w:after="0" w:line="166" w:lineRule="exact"/>
              <w:rPr>
                <w:sz w:val="20"/>
                <w:szCs w:val="20"/>
                <w:color w:val="auto"/>
              </w:rPr>
            </w:pPr>
            <w:r>
              <w:rPr>
                <w:rFonts w:ascii="Times New Roman" w:cs="Times New Roman" w:eastAsia="Times New Roman" w:hAnsi="Times New Roman"/>
                <w:sz w:val="15"/>
                <w:szCs w:val="15"/>
                <w:color w:val="auto"/>
              </w:rPr>
              <w:t>2023</w:t>
            </w:r>
          </w:p>
        </w:tc>
        <w:tc>
          <w:tcPr>
            <w:tcW w:w="68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430,000</w:t>
            </w:r>
          </w:p>
        </w:tc>
        <w:tc>
          <w:tcPr>
            <w:tcW w:w="46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line="166" w:lineRule="exact"/>
              <w:rPr>
                <w:sz w:val="20"/>
                <w:szCs w:val="20"/>
                <w:color w:val="auto"/>
              </w:rPr>
            </w:pPr>
            <w:r>
              <w:rPr>
                <w:rFonts w:ascii="Times New Roman" w:cs="Times New Roman" w:eastAsia="Times New Roman" w:hAnsi="Times New Roman"/>
                <w:sz w:val="15"/>
                <w:szCs w:val="15"/>
                <w:color w:val="auto"/>
              </w:rPr>
              <w:t>956,932</w:t>
            </w:r>
          </w:p>
        </w:tc>
        <w:tc>
          <w:tcPr>
            <w:tcW w:w="680" w:type="dxa"/>
            <w:vAlign w:val="bottom"/>
            <w:gridSpan w:val="2"/>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279,500</w:t>
            </w:r>
          </w:p>
        </w:tc>
        <w:tc>
          <w:tcPr>
            <w:tcW w:w="98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10,472</w:t>
            </w:r>
          </w:p>
        </w:tc>
        <w:tc>
          <w:tcPr>
            <w:tcW w:w="98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18,229</w:t>
            </w:r>
          </w:p>
        </w:tc>
        <w:tc>
          <w:tcPr>
            <w:tcW w:w="78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1,695,133</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2022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380,000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713,095</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287,508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20,305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1,400,908</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5"/>
                <w:szCs w:val="15"/>
                <w:color w:val="auto"/>
              </w:rPr>
              <w:t>Craig L. Rosenthal</w:t>
            </w:r>
          </w:p>
        </w:tc>
        <w:tc>
          <w:tcPr>
            <w:tcW w:w="600" w:type="dxa"/>
            <w:vAlign w:val="bottom"/>
            <w:gridSpan w:val="3"/>
            <w:shd w:val="clear" w:color="auto" w:fill="CCEEFF"/>
          </w:tcPr>
          <w:p>
            <w:pPr>
              <w:ind w:left="80"/>
              <w:spacing w:after="0" w:line="141" w:lineRule="exact"/>
              <w:rPr>
                <w:sz w:val="20"/>
                <w:szCs w:val="20"/>
                <w:color w:val="auto"/>
              </w:rPr>
            </w:pPr>
            <w:r>
              <w:rPr>
                <w:rFonts w:ascii="Times New Roman" w:cs="Times New Roman" w:eastAsia="Times New Roman" w:hAnsi="Times New Roman"/>
                <w:sz w:val="15"/>
                <w:szCs w:val="15"/>
                <w:color w:val="auto"/>
              </w:rPr>
              <w:t>2024</w:t>
            </w:r>
          </w:p>
        </w:tc>
        <w:tc>
          <w:tcPr>
            <w:tcW w:w="68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5"/>
                <w:szCs w:val="15"/>
                <w:color w:val="auto"/>
              </w:rPr>
              <w:t>430,000</w:t>
            </w:r>
          </w:p>
        </w:tc>
        <w:tc>
          <w:tcPr>
            <w:tcW w:w="460" w:type="dxa"/>
            <w:vAlign w:val="bottom"/>
            <w:gridSpan w:val="2"/>
            <w:shd w:val="clear" w:color="auto" w:fill="CCEEFF"/>
          </w:tcPr>
          <w:p>
            <w:pPr>
              <w:ind w:left="140"/>
              <w:spacing w:after="0" w:line="141"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5"/>
                <w:szCs w:val="15"/>
                <w:color w:val="auto"/>
              </w:rPr>
              <w:t>1,499,986</w:t>
            </w:r>
          </w:p>
        </w:tc>
        <w:tc>
          <w:tcPr>
            <w:tcW w:w="680" w:type="dxa"/>
            <w:vAlign w:val="bottom"/>
            <w:gridSpan w:val="2"/>
            <w:shd w:val="clear" w:color="auto" w:fill="CCEEFF"/>
          </w:tcPr>
          <w:p>
            <w:pPr>
              <w:ind w:left="300"/>
              <w:spacing w:after="0" w:line="141"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5"/>
                <w:szCs w:val="15"/>
                <w:color w:val="auto"/>
              </w:rPr>
              <w:t>419,250</w:t>
            </w:r>
          </w:p>
        </w:tc>
        <w:tc>
          <w:tcPr>
            <w:tcW w:w="980" w:type="dxa"/>
            <w:vAlign w:val="bottom"/>
            <w:gridSpan w:val="2"/>
            <w:shd w:val="clear" w:color="auto" w:fill="CCEEFF"/>
          </w:tcPr>
          <w:p>
            <w:pPr>
              <w:jc w:val="right"/>
              <w:ind w:right="180"/>
              <w:spacing w:after="0" w:line="141" w:lineRule="exact"/>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5"/>
                <w:szCs w:val="15"/>
                <w:color w:val="auto"/>
              </w:rPr>
              <w:t>23,441</w:t>
            </w:r>
          </w:p>
        </w:tc>
        <w:tc>
          <w:tcPr>
            <w:tcW w:w="78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5"/>
                <w:szCs w:val="15"/>
                <w:color w:val="auto"/>
              </w:rPr>
              <w:t>2,372,677</w:t>
            </w: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Legal Officer, Chief Compliance Officer and Secretary</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2023</w:t>
            </w:r>
          </w:p>
        </w:tc>
        <w:tc>
          <w:tcPr>
            <w:tcW w:w="68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400,000</w:t>
            </w:r>
          </w:p>
        </w:tc>
        <w:tc>
          <w:tcPr>
            <w:tcW w:w="460" w:type="dxa"/>
            <w:vAlign w:val="bottom"/>
            <w:gridSpan w:val="2"/>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line="166" w:lineRule="exact"/>
              <w:rPr>
                <w:sz w:val="20"/>
                <w:szCs w:val="20"/>
                <w:color w:val="auto"/>
              </w:rPr>
            </w:pPr>
            <w:r>
              <w:rPr>
                <w:rFonts w:ascii="Times New Roman" w:cs="Times New Roman" w:eastAsia="Times New Roman" w:hAnsi="Times New Roman"/>
                <w:sz w:val="15"/>
                <w:szCs w:val="15"/>
                <w:color w:val="auto"/>
              </w:rPr>
              <w:t>816,852</w:t>
            </w:r>
          </w:p>
        </w:tc>
        <w:tc>
          <w:tcPr>
            <w:tcW w:w="680" w:type="dxa"/>
            <w:vAlign w:val="bottom"/>
            <w:gridSpan w:val="2"/>
            <w:shd w:val="clear" w:color="auto" w:fill="CCEEFF"/>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220,000</w:t>
            </w:r>
          </w:p>
        </w:tc>
        <w:tc>
          <w:tcPr>
            <w:tcW w:w="980" w:type="dxa"/>
            <w:vAlign w:val="bottom"/>
            <w:gridSpan w:val="2"/>
            <w:shd w:val="clear" w:color="auto" w:fill="CCEEFF"/>
          </w:tcPr>
          <w:p>
            <w:pPr>
              <w:jc w:val="right"/>
              <w:ind w:right="18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22,326</w:t>
            </w:r>
          </w:p>
        </w:tc>
        <w:tc>
          <w:tcPr>
            <w:tcW w:w="78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1,459,178</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345,000</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580,754</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12,743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220,490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20,657</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1,179,644</w:t>
            </w:r>
          </w:p>
        </w:tc>
        <w:tc>
          <w:tcPr>
            <w:tcW w:w="0" w:type="dxa"/>
            <w:vAlign w:val="bottom"/>
          </w:tcPr>
          <w:p>
            <w:pPr>
              <w:spacing w:after="0"/>
              <w:rPr>
                <w:sz w:val="1"/>
                <w:szCs w:val="1"/>
                <w:color w:val="auto"/>
              </w:rPr>
            </w:pPr>
          </w:p>
        </w:tc>
      </w:tr>
      <w:tr>
        <w:trPr>
          <w:trHeight w:val="249"/>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Robin Singh</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400,000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1,149,979</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330,000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23,096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1,903,075</w:t>
            </w:r>
          </w:p>
        </w:tc>
        <w:tc>
          <w:tcPr>
            <w:tcW w:w="0" w:type="dxa"/>
            <w:vAlign w:val="bottom"/>
          </w:tcPr>
          <w:p>
            <w:pPr>
              <w:spacing w:after="0"/>
              <w:rPr>
                <w:sz w:val="1"/>
                <w:szCs w:val="1"/>
                <w:color w:val="auto"/>
              </w:rPr>
            </w:pPr>
          </w:p>
        </w:tc>
      </w:tr>
      <w:tr>
        <w:trPr>
          <w:trHeight w:val="166"/>
        </w:trPr>
        <w:tc>
          <w:tcPr>
            <w:tcW w:w="3920" w:type="dxa"/>
            <w:vAlign w:val="bottom"/>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SVP, Operations - Premier Nutrition</w:t>
            </w:r>
          </w:p>
        </w:tc>
        <w:tc>
          <w:tcPr>
            <w:tcW w:w="600" w:type="dxa"/>
            <w:vAlign w:val="bottom"/>
            <w:gridSpan w:val="3"/>
          </w:tcPr>
          <w:p>
            <w:pPr>
              <w:ind w:left="80"/>
              <w:spacing w:after="0" w:line="166" w:lineRule="exact"/>
              <w:rPr>
                <w:sz w:val="20"/>
                <w:szCs w:val="20"/>
                <w:color w:val="auto"/>
              </w:rPr>
            </w:pPr>
            <w:r>
              <w:rPr>
                <w:rFonts w:ascii="Times New Roman" w:cs="Times New Roman" w:eastAsia="Times New Roman" w:hAnsi="Times New Roman"/>
                <w:sz w:val="15"/>
                <w:szCs w:val="15"/>
                <w:color w:val="auto"/>
              </w:rPr>
              <w:t>2023</w:t>
            </w:r>
          </w:p>
        </w:tc>
        <w:tc>
          <w:tcPr>
            <w:tcW w:w="68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370,000</w:t>
            </w:r>
          </w:p>
        </w:tc>
        <w:tc>
          <w:tcPr>
            <w:tcW w:w="46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line="166" w:lineRule="exact"/>
              <w:rPr>
                <w:sz w:val="20"/>
                <w:szCs w:val="20"/>
                <w:color w:val="auto"/>
              </w:rPr>
            </w:pPr>
            <w:r>
              <w:rPr>
                <w:rFonts w:ascii="Times New Roman" w:cs="Times New Roman" w:eastAsia="Times New Roman" w:hAnsi="Times New Roman"/>
                <w:sz w:val="15"/>
                <w:szCs w:val="15"/>
                <w:color w:val="auto"/>
              </w:rPr>
              <w:t>269,982</w:t>
            </w:r>
          </w:p>
        </w:tc>
        <w:tc>
          <w:tcPr>
            <w:tcW w:w="680" w:type="dxa"/>
            <w:vAlign w:val="bottom"/>
            <w:gridSpan w:val="2"/>
          </w:tcPr>
          <w:p>
            <w:pPr>
              <w:ind w:left="3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203,500</w:t>
            </w:r>
          </w:p>
        </w:tc>
        <w:tc>
          <w:tcPr>
            <w:tcW w:w="980" w:type="dxa"/>
            <w:vAlign w:val="bottom"/>
            <w:gridSpan w:val="2"/>
          </w:tcPr>
          <w:p>
            <w:pPr>
              <w:jc w:val="right"/>
              <w:ind w:right="18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18,084</w:t>
            </w:r>
          </w:p>
        </w:tc>
        <w:tc>
          <w:tcPr>
            <w:tcW w:w="78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861,566</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2022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345,000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228,924</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220,869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18,334</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813,127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jc w:val="both"/>
        <w:ind w:left="540" w:right="260" w:hanging="424"/>
        <w:spacing w:after="0" w:line="25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and the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the amounts relate to awards of RSUs of our common stock (the “BellRing RSUs”) and PRSUs of our common Stock (the “BellRing PRSUs”) granted in the fiscal year. The awards reflect the aggregate grant date fair values computed in accordance with FASB ASC Topic 718, and do not correspond to the actual values that will be realized by the NEOs. For the BellRing RSUs and the BellRing PRSUs, see Note 15 to the Company’s fiscal year 2024 financial statements beginning on page 65 of the Company’s Annual Report on Form 10-K for the fiscal year ended September 30, 2024 for a discussion of the determination of these amounts under FASB ASC Topic 718.</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incremental fair value expensed in connection with adjustments to outstanding option awards in the Reorganization Transactions.</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fiscal 2024, the amounts reported in this column reflect bonuses paid to the NEOs under the BellRing Brands, Inc. Senior Management Bonus Program, discussed above in </w:t>
      </w:r>
      <w:r>
        <w:rPr>
          <w:rFonts w:ascii="Times New Roman" w:cs="Times New Roman" w:eastAsia="Times New Roman" w:hAnsi="Times New Roman"/>
          <w:sz w:val="18"/>
          <w:szCs w:val="18"/>
          <w:i w:val="1"/>
          <w:iCs w:val="1"/>
          <w:color w:val="auto"/>
        </w:rPr>
        <w:t>Compensation Discussion &amp; Analysis</w:t>
      </w:r>
      <w:r>
        <w:rPr>
          <w:rFonts w:ascii="Times New Roman" w:cs="Times New Roman" w:eastAsia="Times New Roman" w:hAnsi="Times New Roman"/>
          <w:sz w:val="18"/>
          <w:szCs w:val="18"/>
          <w:color w:val="auto"/>
        </w:rPr>
        <w:t>. For fiscal 2024, amounts payable to our NEOs pursuant to awards granted under the program were determined based on achievement of corporate or business unit goals and other achievements considered in the discretion of the Corporate Governance and Compensation Committee. See “Compensation Discussion &amp; Analysis - 2024 Compensation Elements - Annual Bonus (Senior Management Bonus Program) on page 37 of this proxy statement.</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wholly-owned subsidiary of Post, in fiscal 2019, our NEOs were eligible to participate in the following non-qualified deferred compensation plans maintained by Post for key employees: the Deferred Compensation Plan for 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“All Other Compensation” column include the following:</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Personal</w:t>
            </w: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Use of</w:t>
            </w:r>
          </w:p>
        </w:tc>
        <w:tc>
          <w:tcPr>
            <w:tcW w:w="12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Miscellaneous</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(a)</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20,700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78,834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101,094</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20,700</w:t>
            </w:r>
          </w:p>
        </w:tc>
        <w:tc>
          <w:tcPr>
            <w:tcW w:w="1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21,803</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17,625</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19,237</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21,150</w:t>
            </w:r>
          </w:p>
        </w:tc>
        <w:tc>
          <w:tcPr>
            <w:tcW w:w="1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21,150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jc w:val="both"/>
        <w:ind w:left="540" w:right="260" w:hanging="424"/>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and the benefit plans in which he participates are fully disclosed in Post’s filings with the SEC.</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provides, for each of the NEOs, information concerning cash awards under our annual incentive plan for fiscal year 2024 and grants of equity awards made during fiscal year 2024. The non-equity incentive plan awards disclosed below are part of our Senior Management Bonus Program. The plan has threshold, target and maximum payouts, as set forth below, based on achievement of corporate or business unit performance measures; however, achievement below the threshold performance measures generally will result in a lower cash award payout (to the extent discretion is exercised) or no cash award payout at all. In November 2023, awards were determined to have been achieved for each of the NEOs based on a combination of achievement of the corporate or business unit performance measures in the amounts set forth in the Summary Compensation Table under “Non-Equity Incentive Plan Compensation.” Awards of RSUs were made under our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Long-Term Incentive Plan. See Compensation Discussion and Analysis for further information about the awards listed below.</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w:t>
            </w:r>
          </w:p>
        </w:tc>
        <w:tc>
          <w:tcPr>
            <w:tcW w:w="208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Estimated future payouts under</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00"/>
        </w:trPr>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2080" w:type="dxa"/>
            <w:vAlign w:val="bottom"/>
            <w:gridSpan w:val="6"/>
            <w:vMerge w:val="continue"/>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62"/>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80" w:type="dxa"/>
            <w:vAlign w:val="bottom"/>
            <w:gridSpan w:val="6"/>
            <w:vMerge w:val="restart"/>
          </w:tcPr>
          <w:p>
            <w:pPr>
              <w:jc w:val="center"/>
              <w:ind w:right="140"/>
              <w:spacing w:after="0" w:line="177" w:lineRule="exact"/>
              <w:rPr>
                <w:sz w:val="20"/>
                <w:szCs w:val="20"/>
                <w:color w:val="auto"/>
              </w:rPr>
            </w:pPr>
            <w:r>
              <w:rPr>
                <w:rFonts w:ascii="Times New Roman" w:cs="Times New Roman" w:eastAsia="Times New Roman" w:hAnsi="Times New Roman"/>
                <w:sz w:val="13"/>
                <w:szCs w:val="13"/>
                <w:b w:val="1"/>
                <w:bCs w:val="1"/>
                <w:color w:val="auto"/>
                <w:w w:val="95"/>
              </w:rPr>
              <w:t>equity incentive plan awards</w:t>
            </w:r>
            <w:r>
              <w:rPr>
                <w:rFonts w:ascii="Times New Roman" w:cs="Times New Roman" w:eastAsia="Times New Roman" w:hAnsi="Times New Roman"/>
                <w:sz w:val="18"/>
                <w:szCs w:val="18"/>
                <w:b w:val="1"/>
                <w:bCs w:val="1"/>
                <w:color w:val="auto"/>
                <w:w w:val="95"/>
                <w:vertAlign w:val="superscript"/>
              </w:rPr>
              <w:t>(1)</w:t>
            </w:r>
          </w:p>
        </w:tc>
        <w:tc>
          <w:tcPr>
            <w:tcW w:w="2080" w:type="dxa"/>
            <w:vAlign w:val="bottom"/>
            <w:gridSpan w:val="6"/>
            <w:vMerge w:val="restart"/>
          </w:tcPr>
          <w:p>
            <w:pPr>
              <w:jc w:val="center"/>
              <w:ind w:right="140"/>
              <w:spacing w:after="0" w:line="177" w:lineRule="exact"/>
              <w:rPr>
                <w:sz w:val="20"/>
                <w:szCs w:val="20"/>
                <w:color w:val="auto"/>
              </w:rPr>
            </w:pPr>
            <w:r>
              <w:rPr>
                <w:rFonts w:ascii="Times New Roman" w:cs="Times New Roman" w:eastAsia="Times New Roman" w:hAnsi="Times New Roman"/>
                <w:sz w:val="13"/>
                <w:szCs w:val="13"/>
                <w:b w:val="1"/>
                <w:bCs w:val="1"/>
                <w:color w:val="auto"/>
                <w:w w:val="95"/>
              </w:rPr>
              <w:t>equity incentive plan awards</w:t>
            </w:r>
            <w:r>
              <w:rPr>
                <w:rFonts w:ascii="Times New Roman" w:cs="Times New Roman" w:eastAsia="Times New Roman" w:hAnsi="Times New Roman"/>
                <w:sz w:val="18"/>
                <w:szCs w:val="18"/>
                <w:b w:val="1"/>
                <w:bCs w:val="1"/>
                <w:color w:val="auto"/>
                <w:w w:val="95"/>
                <w:vertAlign w:val="superscript"/>
              </w:rPr>
              <w:t>(2)</w:t>
            </w:r>
          </w:p>
        </w:tc>
        <w:tc>
          <w:tcPr>
            <w:tcW w:w="6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gridSpan w:val="6"/>
            <w:vMerge w:val="continue"/>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62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Awards:</w:t>
            </w:r>
          </w:p>
        </w:tc>
        <w:tc>
          <w:tcPr>
            <w:tcW w:w="66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of stock</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and option</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of Units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0" w:type="dxa"/>
            <w:vAlign w:val="bottom"/>
          </w:tcPr>
          <w:p>
            <w:pPr>
              <w:spacing w:after="0"/>
              <w:rPr>
                <w:sz w:val="1"/>
                <w:szCs w:val="1"/>
                <w:color w:val="auto"/>
              </w:rPr>
            </w:pPr>
          </w:p>
        </w:tc>
      </w:tr>
      <w:tr>
        <w:trPr>
          <w:trHeight w:val="169"/>
        </w:trPr>
        <w:tc>
          <w:tcPr>
            <w:tcW w:w="33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Type</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2"/>
              </w:rPr>
              <w:t>($)</w:t>
            </w:r>
            <w:r>
              <w:rPr>
                <w:rFonts w:ascii="Times New Roman" w:cs="Times New Roman" w:eastAsia="Times New Roman" w:hAnsi="Times New Roman"/>
                <w:sz w:val="18"/>
                <w:szCs w:val="18"/>
                <w:b w:val="1"/>
                <w:bCs w:val="1"/>
                <w:color w:val="auto"/>
                <w:w w:val="82"/>
                <w:vertAlign w:val="superscript"/>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21"/>
                <w:szCs w:val="21"/>
                <w:color w:val="auto"/>
                <w:vertAlign w:val="superscript"/>
              </w:rPr>
              <w:t>(5)</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Darcy Horn Davenport</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468,740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937,500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1,406,250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62,283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124,567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323,874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45,209</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7,499,798</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A. Rode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187,500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375,000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562,500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14,994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29,988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77,968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13,993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1,949,955</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J. Cornille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172,500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345,000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517,500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13,494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26,989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70,717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12,917</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1,769,968</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Craig L. Rosenthal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139,750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279,500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419,250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11,534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23,068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59,976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10,764</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1,499,986</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Robin Singh</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110,000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220,000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330,000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8,650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17,301</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44,982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8,611</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1,149,979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69" w:lineRule="auto"/>
        <w:tabs>
          <w:tab w:leader="none" w:pos="5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columns consist of threshold, target and maximum annual incentive targets for fiscal year 2024 under our Senior Management Bonus Program. The “Threshold” column represents the amount payable to the NEO if the threshold performance level is achieved. If the threshold performance level is not achieved, the NEO may receive a lower cash award payout (to the extent discretion is exercised) or no cash award payout at all. The “Target” column represents the payout amount if the specified performance targets are achieved. The “Maximum” column represents the maximum payout possible. See the Summary Compensation Table for actual amounts paid under the Senior Management Bonus Program.</w:t>
      </w:r>
    </w:p>
    <w:p>
      <w:pPr>
        <w:spacing w:after="0" w:line="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PRSUs granted in fiscal year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RSUs granted in fiscal year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equity awards calculated in accordance with FASB ASC Topic 718.</w:t>
      </w:r>
    </w:p>
    <w:p>
      <w:pPr>
        <w:spacing w:after="0" w:line="9" w:lineRule="exact"/>
        <w:rPr>
          <w:rFonts w:ascii="Times New Roman" w:cs="Times New Roman" w:eastAsia="Times New Roman" w:hAnsi="Times New Roman"/>
          <w:sz w:val="18"/>
          <w:szCs w:val="18"/>
          <w:color w:val="auto"/>
        </w:rPr>
      </w:pPr>
    </w:p>
    <w:p>
      <w:pPr>
        <w:jc w:val="both"/>
        <w:ind w:left="540" w:right="280" w:hanging="424"/>
        <w:spacing w:after="0" w:line="255"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from Post and the Post benefit plans in which he participates are fully disclosed in Post’s filings with the SEC.</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September 30, 2024</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exercisable and unexercisable options and unvested RSU and PRSU awards held by our named executive officers on September 30, 2024.</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20745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21"/>
          <w:szCs w:val="21"/>
          <w:color w:val="auto"/>
          <w:vertAlign w:val="superscript"/>
        </w:rPr>
        <w:t>(1)</w:t>
      </w: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Darcy Horn Davenport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Paul A. Rode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Douglas J. Cornille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Craig L. Rosenthal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Robin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426720</wp:posOffset>
            </wp:positionV>
            <wp:extent cx="7715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Plan</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gridSpan w:val="2"/>
            <w:vMerge w:val="continue"/>
          </w:tcPr>
          <w:p>
            <w:pPr>
              <w:spacing w:after="0"/>
              <w:rPr>
                <w:sz w:val="3"/>
                <w:szCs w:val="3"/>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8"/>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8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75"/>
        </w:trPr>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18"/>
        </w:trPr>
        <w:tc>
          <w:tcPr>
            <w:tcW w:w="10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or Other</w:t>
            </w: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68"/>
        </w:trPr>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Have</w:t>
            </w:r>
          </w:p>
        </w:tc>
        <w:tc>
          <w:tcPr>
            <w:tcW w:w="880" w:type="dxa"/>
            <w:vAlign w:val="bottom"/>
            <w:gridSpan w:val="2"/>
            <w:vMerge w:val="continue"/>
          </w:tcPr>
          <w:p>
            <w:pPr>
              <w:spacing w:after="0"/>
              <w:rPr>
                <w:sz w:val="5"/>
                <w:szCs w:val="5"/>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8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gridSpan w:val="2"/>
            <w:vMerge w:val="continue"/>
          </w:tcPr>
          <w:p>
            <w:pPr>
              <w:spacing w:after="0"/>
              <w:rPr>
                <w:sz w:val="7"/>
                <w:szCs w:val="7"/>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90"/>
        </w:trPr>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Not</w:t>
            </w:r>
          </w:p>
        </w:tc>
        <w:tc>
          <w:tcPr>
            <w:tcW w:w="88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80" w:type="dxa"/>
            <w:vAlign w:val="bottom"/>
            <w:gridSpan w:val="2"/>
            <w:vMerge w:val="restart"/>
          </w:tcPr>
          <w:p>
            <w:pPr>
              <w:jc w:val="center"/>
              <w:ind w:right="260"/>
              <w:spacing w:after="0" w:line="176" w:lineRule="exact"/>
              <w:rPr>
                <w:sz w:val="20"/>
                <w:szCs w:val="20"/>
                <w:color w:val="auto"/>
              </w:rPr>
            </w:pPr>
            <w:r>
              <w:rPr>
                <w:rFonts w:ascii="Times New Roman" w:cs="Times New Roman" w:eastAsia="Times New Roman" w:hAnsi="Times New Roman"/>
                <w:sz w:val="13"/>
                <w:szCs w:val="13"/>
                <w:b w:val="1"/>
                <w:bCs w:val="1"/>
                <w:color w:val="auto"/>
                <w:w w:val="90"/>
              </w:rPr>
              <w:t>Vested</w:t>
            </w:r>
            <w:r>
              <w:rPr>
                <w:rFonts w:ascii="Times New Roman" w:cs="Times New Roman" w:eastAsia="Times New Roman" w:hAnsi="Times New Roman"/>
                <w:sz w:val="20"/>
                <w:szCs w:val="20"/>
                <w:b w:val="1"/>
                <w:bCs w:val="1"/>
                <w:color w:val="auto"/>
                <w:w w:val="90"/>
                <w:vertAlign w:val="superscript"/>
              </w:rPr>
              <w:t>(10)</w:t>
            </w:r>
          </w:p>
        </w:tc>
        <w:tc>
          <w:tcPr>
            <w:tcW w:w="114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17"/>
        </w:trPr>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880" w:type="dxa"/>
            <w:vAlign w:val="bottom"/>
            <w:gridSpan w:val="2"/>
            <w:vMerge w:val="continue"/>
          </w:tcPr>
          <w:p>
            <w:pPr>
              <w:spacing w:after="0"/>
              <w:rPr>
                <w:sz w:val="10"/>
                <w:szCs w:val="10"/>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40" w:type="dxa"/>
            <w:vAlign w:val="bottom"/>
            <w:gridSpan w:val="2"/>
            <w:vMerge w:val="restart"/>
          </w:tcPr>
          <w:p>
            <w:pPr>
              <w:jc w:val="center"/>
              <w:ind w:right="20"/>
              <w:spacing w:after="0" w:line="197" w:lineRule="exact"/>
              <w:rPr>
                <w:sz w:val="20"/>
                <w:szCs w:val="20"/>
                <w:color w:val="auto"/>
              </w:rPr>
            </w:pPr>
            <w:r>
              <w:rPr>
                <w:rFonts w:ascii="Times New Roman" w:cs="Times New Roman" w:eastAsia="Times New Roman" w:hAnsi="Times New Roman"/>
                <w:sz w:val="13"/>
                <w:szCs w:val="13"/>
                <w:b w:val="1"/>
                <w:bCs w:val="1"/>
                <w:color w:val="auto"/>
                <w:w w:val="90"/>
              </w:rPr>
              <w:t>Vested($)</w:t>
            </w:r>
            <w:r>
              <w:rPr>
                <w:rFonts w:ascii="Times New Roman" w:cs="Times New Roman" w:eastAsia="Times New Roman" w:hAnsi="Times New Roman"/>
                <w:sz w:val="20"/>
                <w:szCs w:val="20"/>
                <w:b w:val="1"/>
                <w:bCs w:val="1"/>
                <w:color w:val="auto"/>
                <w:w w:val="90"/>
                <w:vertAlign w:val="superscript"/>
              </w:rPr>
              <w:t>(11)</w:t>
            </w:r>
          </w:p>
        </w:tc>
        <w:tc>
          <w:tcPr>
            <w:tcW w:w="0" w:type="dxa"/>
            <w:vAlign w:val="bottom"/>
          </w:tcPr>
          <w:p>
            <w:pPr>
              <w:spacing w:after="0" w:line="20" w:lineRule="exact"/>
              <w:rPr>
                <w:sz w:val="1"/>
                <w:szCs w:val="1"/>
                <w:color w:val="auto"/>
              </w:rPr>
            </w:pPr>
          </w:p>
        </w:tc>
      </w:tr>
      <w:tr>
        <w:trPr>
          <w:trHeight w:val="165"/>
        </w:trPr>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3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Date</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vMerge w:val="continue"/>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vMerge w:val="continue"/>
          </w:tcPr>
          <w:p>
            <w:pPr>
              <w:spacing w:after="0"/>
              <w:rPr>
                <w:sz w:val="17"/>
                <w:szCs w:val="17"/>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4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40"/>
              <w:spacing w:after="0" w:line="201" w:lineRule="exact"/>
              <w:rPr>
                <w:sz w:val="20"/>
                <w:szCs w:val="20"/>
                <w:color w:val="auto"/>
              </w:rPr>
            </w:pPr>
            <w:r>
              <w:rPr>
                <w:rFonts w:ascii="Times New Roman" w:cs="Times New Roman" w:eastAsia="Times New Roman" w:hAnsi="Times New Roman"/>
                <w:sz w:val="14"/>
                <w:szCs w:val="14"/>
                <w:color w:val="auto"/>
              </w:rPr>
              <w:t>780,000</w:t>
            </w:r>
            <w:r>
              <w:rPr>
                <w:rFonts w:ascii="Times New Roman" w:cs="Times New Roman" w:eastAsia="Times New Roman" w:hAnsi="Times New Roman"/>
                <w:sz w:val="21"/>
                <w:szCs w:val="21"/>
                <w:color w:val="auto"/>
                <w:vertAlign w:val="superscript"/>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47,361,600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33,334</w:t>
            </w:r>
            <w:r>
              <w:rPr>
                <w:rFonts w:ascii="Times New Roman" w:cs="Times New Roman" w:eastAsia="Times New Roman" w:hAnsi="Times New Roman"/>
                <w:sz w:val="21"/>
                <w:szCs w:val="2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2,024,040</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14,828</w:t>
            </w:r>
            <w:r>
              <w:rPr>
                <w:rFonts w:ascii="Times New Roman" w:cs="Times New Roman" w:eastAsia="Times New Roman" w:hAnsi="Times New Roman"/>
                <w:sz w:val="21"/>
                <w:szCs w:val="21"/>
                <w:color w:val="auto"/>
                <w:vertAlign w:val="superscript"/>
              </w:rPr>
              <w:t>(2)</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48.10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11/14/2026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323,874</w:t>
            </w:r>
            <w:r>
              <w:rPr>
                <w:rFonts w:ascii="Times New Roman" w:cs="Times New Roman" w:eastAsia="Times New Roman" w:hAnsi="Times New Roman"/>
                <w:sz w:val="21"/>
                <w:szCs w:val="21"/>
                <w:color w:val="auto"/>
                <w:vertAlign w:val="superscript"/>
              </w:rPr>
              <w:t>(5)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19,665,629</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23,688</w:t>
            </w:r>
            <w:r>
              <w:rPr>
                <w:rFonts w:ascii="Times New Roman" w:cs="Times New Roman" w:eastAsia="Times New Roman" w:hAnsi="Times New Roman"/>
                <w:sz w:val="21"/>
                <w:szCs w:val="21"/>
                <w:color w:val="auto"/>
                <w:vertAlign w:val="superscript"/>
              </w:rPr>
              <w:t>(2)</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53.63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12/1/2027</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120,843</w:t>
            </w:r>
            <w:r>
              <w:rPr>
                <w:rFonts w:ascii="Times New Roman" w:cs="Times New Roman" w:eastAsia="Times New Roman" w:hAnsi="Times New Roman"/>
                <w:sz w:val="21"/>
                <w:szCs w:val="21"/>
                <w:color w:val="auto"/>
                <w:vertAlign w:val="superscript"/>
              </w:rPr>
              <w:t>(7)</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7,337,587</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18,296</w:t>
            </w:r>
            <w:r>
              <w:rPr>
                <w:rFonts w:ascii="Times New Roman" w:cs="Times New Roman" w:eastAsia="Times New Roman" w:hAnsi="Times New Roman"/>
                <w:sz w:val="21"/>
                <w:szCs w:val="21"/>
                <w:color w:val="auto"/>
                <w:vertAlign w:val="superscript"/>
              </w:rPr>
              <w:t>(2)</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62.10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11/13/2028</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293,295</w:t>
            </w:r>
            <w:r>
              <w:rPr>
                <w:rFonts w:ascii="Times New Roman" w:cs="Times New Roman" w:eastAsia="Times New Roman" w:hAnsi="Times New Roman"/>
                <w:sz w:val="21"/>
                <w:szCs w:val="21"/>
                <w:color w:val="auto"/>
                <w:vertAlign w:val="superscript"/>
              </w:rPr>
              <w:t>(9)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17,808,872</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84,873</w:t>
            </w:r>
            <w:r>
              <w:rPr>
                <w:rFonts w:ascii="Times New Roman" w:cs="Times New Roman" w:eastAsia="Times New Roman" w:hAnsi="Times New Roman"/>
                <w:sz w:val="21"/>
                <w:szCs w:val="21"/>
                <w:color w:val="auto"/>
                <w:vertAlign w:val="superscript"/>
              </w:rPr>
              <w:t>(3)</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17.30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11/20/2029</w:t>
            </w:r>
          </w:p>
        </w:tc>
        <w:tc>
          <w:tcPr>
            <w:tcW w:w="92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4"/>
                <w:szCs w:val="14"/>
                <w:color w:val="auto"/>
              </w:rPr>
              <w:t>15,366</w:t>
            </w:r>
            <w:r>
              <w:rPr>
                <w:rFonts w:ascii="Times New Roman" w:cs="Times New Roman" w:eastAsia="Times New Roman" w:hAnsi="Times New Roman"/>
                <w:sz w:val="21"/>
                <w:szCs w:val="2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933,024</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119,704</w:t>
            </w:r>
            <w:r>
              <w:rPr>
                <w:rFonts w:ascii="Times New Roman" w:cs="Times New Roman" w:eastAsia="Times New Roman" w:hAnsi="Times New Roman"/>
                <w:sz w:val="21"/>
                <w:szCs w:val="21"/>
                <w:color w:val="auto"/>
                <w:vertAlign w:val="superscript"/>
              </w:rPr>
              <w:t>(4)</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45,209</w:t>
            </w:r>
            <w:r>
              <w:rPr>
                <w:rFonts w:ascii="Times New Roman" w:cs="Times New Roman" w:eastAsia="Times New Roman" w:hAnsi="Times New Roman"/>
                <w:sz w:val="21"/>
                <w:szCs w:val="21"/>
                <w:color w:val="auto"/>
                <w:vertAlign w:val="superscript"/>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2,745,090</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38,650</w:t>
            </w:r>
            <w:r>
              <w:rPr>
                <w:rFonts w:ascii="Times New Roman" w:cs="Times New Roman" w:eastAsia="Times New Roman" w:hAnsi="Times New Roman"/>
                <w:sz w:val="21"/>
                <w:szCs w:val="21"/>
                <w:color w:val="auto"/>
                <w:vertAlign w:val="superscript"/>
              </w:rPr>
              <w:t>(4)</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77,968</w:t>
            </w:r>
            <w:r>
              <w:rPr>
                <w:rFonts w:ascii="Times New Roman" w:cs="Times New Roman" w:eastAsia="Times New Roman" w:hAnsi="Times New Roman"/>
                <w:sz w:val="21"/>
                <w:szCs w:val="21"/>
                <w:color w:val="auto"/>
                <w:vertAlign w:val="superscript"/>
              </w:rPr>
              <w:t>(5)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4,734,217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27,750</w:t>
            </w:r>
            <w:r>
              <w:rPr>
                <w:rFonts w:ascii="Times New Roman" w:cs="Times New Roman" w:eastAsia="Times New Roman" w:hAnsi="Times New Roman"/>
                <w:sz w:val="21"/>
                <w:szCs w:val="21"/>
                <w:color w:val="auto"/>
                <w:vertAlign w:val="superscript"/>
              </w:rPr>
              <w:t>(7)</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1,684,980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62,569</w:t>
            </w:r>
            <w:r>
              <w:rPr>
                <w:rFonts w:ascii="Times New Roman" w:cs="Times New Roman" w:eastAsia="Times New Roman" w:hAnsi="Times New Roman"/>
                <w:sz w:val="21"/>
                <w:szCs w:val="21"/>
                <w:color w:val="auto"/>
                <w:vertAlign w:val="superscript"/>
              </w:rPr>
              <w:t>(9)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3,799,190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4"/>
                <w:szCs w:val="14"/>
                <w:color w:val="auto"/>
              </w:rPr>
              <w:t>3,529</w:t>
            </w:r>
            <w:r>
              <w:rPr>
                <w:rFonts w:ascii="Times New Roman" w:cs="Times New Roman" w:eastAsia="Times New Roman" w:hAnsi="Times New Roman"/>
                <w:sz w:val="21"/>
                <w:szCs w:val="2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214,281</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13,993</w:t>
            </w:r>
            <w:r>
              <w:rPr>
                <w:rFonts w:ascii="Times New Roman" w:cs="Times New Roman" w:eastAsia="Times New Roman" w:hAnsi="Times New Roman"/>
                <w:sz w:val="21"/>
                <w:szCs w:val="21"/>
                <w:color w:val="auto"/>
                <w:vertAlign w:val="superscript"/>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849,655</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70,717</w:t>
            </w:r>
            <w:r>
              <w:rPr>
                <w:rFonts w:ascii="Times New Roman" w:cs="Times New Roman" w:eastAsia="Times New Roman" w:hAnsi="Times New Roman"/>
                <w:sz w:val="21"/>
                <w:szCs w:val="21"/>
                <w:color w:val="auto"/>
                <w:vertAlign w:val="superscript"/>
              </w:rPr>
              <w:t>(5)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4,293,936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25,891</w:t>
            </w:r>
            <w:r>
              <w:rPr>
                <w:rFonts w:ascii="Times New Roman" w:cs="Times New Roman" w:eastAsia="Times New Roman" w:hAnsi="Times New Roman"/>
                <w:sz w:val="21"/>
                <w:szCs w:val="21"/>
                <w:color w:val="auto"/>
                <w:vertAlign w:val="superscript"/>
              </w:rPr>
              <w:t>(7)</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1,572,102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14"/>
                <w:szCs w:val="14"/>
                <w:color w:val="auto"/>
              </w:rPr>
              <w:t>54,971</w:t>
            </w:r>
            <w:r>
              <w:rPr>
                <w:rFonts w:ascii="Times New Roman" w:cs="Times New Roman" w:eastAsia="Times New Roman" w:hAnsi="Times New Roman"/>
                <w:sz w:val="21"/>
                <w:szCs w:val="21"/>
                <w:color w:val="auto"/>
                <w:vertAlign w:val="superscript"/>
              </w:rPr>
              <w:t>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3,337,839</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3,292</w:t>
            </w:r>
            <w:r>
              <w:rPr>
                <w:rFonts w:ascii="Times New Roman" w:cs="Times New Roman" w:eastAsia="Times New Roman" w:hAnsi="Times New Roman"/>
                <w:sz w:val="21"/>
                <w:szCs w:val="2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199,890</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12,917</w:t>
            </w:r>
            <w:r>
              <w:rPr>
                <w:rFonts w:ascii="Times New Roman" w:cs="Times New Roman" w:eastAsia="Times New Roman" w:hAnsi="Times New Roman"/>
                <w:sz w:val="21"/>
                <w:szCs w:val="21"/>
                <w:color w:val="auto"/>
                <w:vertAlign w:val="superscript"/>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784,320</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15,760</w:t>
            </w:r>
            <w:r>
              <w:rPr>
                <w:rFonts w:ascii="Times New Roman" w:cs="Times New Roman" w:eastAsia="Times New Roman" w:hAnsi="Times New Roman"/>
                <w:sz w:val="21"/>
                <w:szCs w:val="21"/>
                <w:color w:val="auto"/>
                <w:vertAlign w:val="superscript"/>
              </w:rPr>
              <w:t>(4)</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59,976</w:t>
            </w:r>
            <w:r>
              <w:rPr>
                <w:rFonts w:ascii="Times New Roman" w:cs="Times New Roman" w:eastAsia="Times New Roman" w:hAnsi="Times New Roman"/>
                <w:sz w:val="21"/>
                <w:szCs w:val="21"/>
                <w:color w:val="auto"/>
                <w:vertAlign w:val="superscript"/>
              </w:rPr>
              <w:t>(5)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3,641,743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21,086</w:t>
            </w:r>
            <w:r>
              <w:rPr>
                <w:rFonts w:ascii="Times New Roman" w:cs="Times New Roman" w:eastAsia="Times New Roman" w:hAnsi="Times New Roman"/>
                <w:sz w:val="21"/>
                <w:szCs w:val="21"/>
                <w:color w:val="auto"/>
                <w:vertAlign w:val="superscript"/>
              </w:rPr>
              <w:t>(7)</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1,280,342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46,924</w:t>
            </w:r>
            <w:r>
              <w:rPr>
                <w:rFonts w:ascii="Times New Roman" w:cs="Times New Roman" w:eastAsia="Times New Roman" w:hAnsi="Times New Roman"/>
                <w:sz w:val="21"/>
                <w:szCs w:val="21"/>
                <w:color w:val="auto"/>
                <w:vertAlign w:val="superscript"/>
              </w:rPr>
              <w:t>(9)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2,849,225</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2,681</w:t>
            </w:r>
            <w:r>
              <w:rPr>
                <w:rFonts w:ascii="Times New Roman" w:cs="Times New Roman" w:eastAsia="Times New Roman" w:hAnsi="Times New Roman"/>
                <w:sz w:val="21"/>
                <w:szCs w:val="2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162,790</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10,764</w:t>
            </w:r>
            <w:r>
              <w:rPr>
                <w:rFonts w:ascii="Times New Roman" w:cs="Times New Roman" w:eastAsia="Times New Roman" w:hAnsi="Times New Roman"/>
                <w:sz w:val="21"/>
                <w:szCs w:val="21"/>
                <w:color w:val="auto"/>
                <w:vertAlign w:val="superscript"/>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653,590</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4"/>
                <w:szCs w:val="14"/>
                <w:color w:val="auto"/>
              </w:rPr>
              <w:t>2,996</w:t>
            </w:r>
            <w:r>
              <w:rPr>
                <w:rFonts w:ascii="Times New Roman" w:cs="Times New Roman" w:eastAsia="Times New Roman" w:hAnsi="Times New Roman"/>
                <w:sz w:val="21"/>
                <w:szCs w:val="2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181,917</w:t>
            </w:r>
          </w:p>
        </w:tc>
        <w:tc>
          <w:tcPr>
            <w:tcW w:w="114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4"/>
                <w:szCs w:val="14"/>
                <w:color w:val="auto"/>
              </w:rPr>
              <w:t>44,982</w:t>
            </w:r>
            <w:r>
              <w:rPr>
                <w:rFonts w:ascii="Times New Roman" w:cs="Times New Roman" w:eastAsia="Times New Roman" w:hAnsi="Times New Roman"/>
                <w:sz w:val="21"/>
                <w:szCs w:val="21"/>
                <w:color w:val="auto"/>
                <w:vertAlign w:val="superscript"/>
              </w:rPr>
              <w:t>(5)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2,731,307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4"/>
                <w:szCs w:val="14"/>
                <w:color w:val="auto"/>
              </w:rPr>
              <w:t>7,112</w:t>
            </w:r>
            <w:r>
              <w:rPr>
                <w:rFonts w:ascii="Times New Roman" w:cs="Times New Roman" w:eastAsia="Times New Roman" w:hAnsi="Times New Roman"/>
                <w:sz w:val="21"/>
                <w:szCs w:val="21"/>
                <w:color w:val="auto"/>
                <w:vertAlign w:val="superscript"/>
              </w:rPr>
              <w:t>(8)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431,841</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8,611</w:t>
            </w:r>
            <w:r>
              <w:rPr>
                <w:rFonts w:ascii="Times New Roman" w:cs="Times New Roman" w:eastAsia="Times New Roman" w:hAnsi="Times New Roman"/>
                <w:sz w:val="21"/>
                <w:szCs w:val="21"/>
                <w:color w:val="auto"/>
                <w:vertAlign w:val="superscript"/>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522,860</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-3677285</wp:posOffset>
            </wp:positionV>
            <wp:extent cx="69951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-3368675</wp:posOffset>
            </wp:positionV>
            <wp:extent cx="69951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-3094355</wp:posOffset>
            </wp:positionV>
            <wp:extent cx="6995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-2820035</wp:posOffset>
            </wp:positionV>
            <wp:extent cx="699516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-2511425</wp:posOffset>
            </wp:positionV>
            <wp:extent cx="6995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-2237105</wp:posOffset>
            </wp:positionV>
            <wp:extent cx="69951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-1928495</wp:posOffset>
            </wp:positionV>
            <wp:extent cx="69951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-1654175</wp:posOffset>
            </wp:positionV>
            <wp:extent cx="6995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-1362710</wp:posOffset>
            </wp:positionV>
            <wp:extent cx="699516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-1054100</wp:posOffset>
            </wp:positionV>
            <wp:extent cx="699516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-779780</wp:posOffset>
            </wp:positionV>
            <wp:extent cx="699516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-454025</wp:posOffset>
            </wp:positionV>
            <wp:extent cx="69951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-179705</wp:posOffset>
            </wp:positionV>
            <wp:extent cx="699516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880" w:space="720"/>
            <w:col w:w="7500"/>
          </w:cols>
          <w:pgMar w:left="320" w:top="482" w:right="479" w:bottom="1440" w:gutter="0" w:footer="0" w:header="0"/>
          <w:type w:val="continuous"/>
        </w:sectPr>
      </w:pPr>
    </w:p>
    <w:p>
      <w:pPr>
        <w:jc w:val="both"/>
        <w:ind w:left="540" w:right="240" w:hanging="424"/>
        <w:spacing w:after="0" w:line="25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from Post and the Post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Post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w:t>
      </w:r>
    </w:p>
    <w:p>
      <w:pPr>
        <w:spacing w:after="0" w:line="9"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of 260% based on performance at 188% of target as of September 30, 2024; service-based restrictions lapse on September 30, 2026 and vesting is subject to the satisfaction of performance conditions. The PRSUs will be paid in shares of the Company’s common stock within sixty days from the vesting date.</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on November 11, 2024 (February 1, 2025 for Mr. Vitale). The RSUs will be paid in shares of the Company’s common stock within sixty days from each of the applicable vesting dates.</w:t>
      </w:r>
    </w:p>
    <w:p>
      <w:pPr>
        <w:ind w:left="540" w:right="340" w:hanging="424"/>
        <w:spacing w:after="0" w:line="26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for all named executive officers based on performance at 260% of target as of September 30</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680"/>
        <w:spacing w:after="0" w:line="261" w:lineRule="auto"/>
        <w:rPr>
          <w:sz w:val="20"/>
          <w:szCs w:val="20"/>
          <w:color w:val="auto"/>
        </w:rPr>
      </w:pPr>
      <w:r>
        <w:rPr>
          <w:rFonts w:ascii="Times New Roman" w:cs="Times New Roman" w:eastAsia="Times New Roman" w:hAnsi="Times New Roman"/>
          <w:sz w:val="18"/>
          <w:szCs w:val="18"/>
          <w:color w:val="auto"/>
        </w:rPr>
        <w:t>2024; service-based restrictions lapse on November 11, 2024 (February 1, 2025 for Mr. Vitale) and vesting is subject to the satisfaction of performance conditions. The PRSUs will be paid in shares of the Company’s common stock within sixty days from the vesting date.</w:t>
      </w:r>
    </w:p>
    <w:p>
      <w:pPr>
        <w:ind w:left="540" w:right="2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2024 and 2025. The RSUs will be paid in shares of the Company’s common stock within sixty days from each of the applicable vesting dates.</w:t>
      </w:r>
    </w:p>
    <w:p>
      <w:pPr>
        <w:jc w:val="both"/>
        <w:ind w:left="540" w:right="22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based on performance at 260% of target as of September 30, 2024; service-based restrictions lapse on November 11, 2025 and vesting is subject to the satisfaction of performance conditions. The PRSUs will be paid in shares of the Company’s common stock within sixty days from the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2024, 2025 and 2026. The RSUs will be paid in shares of the Company’s common stock within sixty days from each of the applicable vesting dates.</w:t>
      </w: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closing stock price of $60.72 on September 30, 2024.</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40" w:type="dxa"/>
            <w:vAlign w:val="bottom"/>
          </w:tcPr>
          <w:p>
            <w:pPr>
              <w:spacing w:after="0"/>
              <w:rPr>
                <w:sz w:val="15"/>
                <w:szCs w:val="15"/>
                <w:color w:val="auto"/>
              </w:rPr>
            </w:pPr>
          </w:p>
        </w:tc>
        <w:tc>
          <w:tcPr>
            <w:tcW w:w="2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94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03"/>
        </w:trPr>
        <w:tc>
          <w:tcPr>
            <w:tcW w:w="1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20" w:type="dxa"/>
            <w:vAlign w:val="bottom"/>
            <w:gridSpan w:val="2"/>
            <w:vMerge w:val="restart"/>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940" w:type="dxa"/>
            <w:vAlign w:val="bottom"/>
            <w:gridSpan w:val="2"/>
            <w:vMerge w:val="continue"/>
          </w:tcPr>
          <w:p>
            <w:pPr>
              <w:spacing w:after="0"/>
              <w:rPr>
                <w:sz w:val="9"/>
                <w:szCs w:val="9"/>
                <w:color w:val="auto"/>
              </w:rPr>
            </w:pPr>
          </w:p>
        </w:tc>
        <w:tc>
          <w:tcPr>
            <w:tcW w:w="2080" w:type="dxa"/>
            <w:vAlign w:val="bottom"/>
            <w:gridSpan w:val="2"/>
            <w:vMerge w:val="restart"/>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940" w:type="dxa"/>
            <w:vAlign w:val="bottom"/>
            <w:gridSpan w:val="2"/>
            <w:vMerge w:val="restart"/>
          </w:tcPr>
          <w:p>
            <w:pPr>
              <w:jc w:val="center"/>
              <w:ind w:right="820"/>
              <w:spacing w:after="0" w:line="192" w:lineRule="exact"/>
              <w:rPr>
                <w:sz w:val="20"/>
                <w:szCs w:val="20"/>
                <w:color w:val="auto"/>
              </w:rPr>
            </w:pPr>
            <w:r>
              <w:rPr>
                <w:rFonts w:ascii="Times New Roman" w:cs="Times New Roman" w:eastAsia="Times New Roman" w:hAnsi="Times New Roman"/>
                <w:sz w:val="14"/>
                <w:szCs w:val="14"/>
                <w:b w:val="1"/>
                <w:bCs w:val="1"/>
                <w:color w:val="auto"/>
                <w:w w:val="95"/>
              </w:rPr>
              <w:t>Exercise</w:t>
            </w:r>
            <w:r>
              <w:rPr>
                <w:rFonts w:ascii="Times New Roman" w:cs="Times New Roman" w:eastAsia="Times New Roman" w:hAnsi="Times New Roman"/>
                <w:sz w:val="21"/>
                <w:szCs w:val="21"/>
                <w:b w:val="1"/>
                <w:bCs w:val="1"/>
                <w:color w:val="auto"/>
                <w:w w:val="95"/>
                <w:vertAlign w:val="superscript"/>
              </w:rPr>
              <w:t>(2)</w:t>
            </w:r>
          </w:p>
        </w:tc>
        <w:tc>
          <w:tcPr>
            <w:tcW w:w="2080" w:type="dxa"/>
            <w:vAlign w:val="bottom"/>
            <w:gridSpan w:val="2"/>
            <w:vMerge w:val="continue"/>
          </w:tcPr>
          <w:p>
            <w:pPr>
              <w:spacing w:after="0"/>
              <w:rPr>
                <w:sz w:val="3"/>
                <w:szCs w:val="3"/>
                <w:color w:val="auto"/>
              </w:rPr>
            </w:pPr>
          </w:p>
        </w:tc>
        <w:tc>
          <w:tcPr>
            <w:tcW w:w="1160" w:type="dxa"/>
            <w:vAlign w:val="bottom"/>
            <w:gridSpan w:val="2"/>
            <w:vMerge w:val="restart"/>
          </w:tcPr>
          <w:p>
            <w:pPr>
              <w:jc w:val="center"/>
              <w:ind w:right="60"/>
              <w:spacing w:after="0" w:line="192" w:lineRule="exact"/>
              <w:rPr>
                <w:sz w:val="20"/>
                <w:szCs w:val="20"/>
                <w:color w:val="auto"/>
              </w:rPr>
            </w:pPr>
            <w:r>
              <w:rPr>
                <w:rFonts w:ascii="Times New Roman" w:cs="Times New Roman" w:eastAsia="Times New Roman" w:hAnsi="Times New Roman"/>
                <w:sz w:val="14"/>
                <w:szCs w:val="14"/>
                <w:b w:val="1"/>
                <w:bCs w:val="1"/>
                <w:color w:val="auto"/>
                <w:w w:val="94"/>
              </w:rPr>
              <w:t>Vesting</w:t>
            </w:r>
            <w:r>
              <w:rPr>
                <w:rFonts w:ascii="Times New Roman" w:cs="Times New Roman" w:eastAsia="Times New Roman" w:hAnsi="Times New Roman"/>
                <w:sz w:val="21"/>
                <w:szCs w:val="21"/>
                <w:b w:val="1"/>
                <w:bCs w:val="1"/>
                <w:color w:val="auto"/>
                <w:w w:val="94"/>
                <w:vertAlign w:val="superscript"/>
              </w:rPr>
              <w:t>(3)</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vMerge w:val="restart"/>
          </w:tcPr>
          <w:p>
            <w:pPr>
              <w:spacing w:after="0"/>
              <w:rPr>
                <w:sz w:val="12"/>
                <w:szCs w:val="12"/>
                <w:color w:val="auto"/>
              </w:rPr>
            </w:pPr>
          </w:p>
        </w:tc>
        <w:tc>
          <w:tcPr>
            <w:tcW w:w="1920" w:type="dxa"/>
            <w:vAlign w:val="bottom"/>
            <w:gridSpan w:val="2"/>
          </w:tcPr>
          <w:p>
            <w:pPr>
              <w:jc w:val="center"/>
              <w:ind w:right="8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940" w:type="dxa"/>
            <w:vAlign w:val="bottom"/>
            <w:gridSpan w:val="2"/>
            <w:vMerge w:val="continue"/>
          </w:tcPr>
          <w:p>
            <w:pPr>
              <w:spacing w:after="0"/>
              <w:rPr>
                <w:sz w:val="12"/>
                <w:szCs w:val="12"/>
                <w:color w:val="auto"/>
              </w:rPr>
            </w:pPr>
          </w:p>
        </w:tc>
        <w:tc>
          <w:tcPr>
            <w:tcW w:w="2080" w:type="dxa"/>
            <w:vAlign w:val="bottom"/>
            <w:gridSpan w:val="2"/>
          </w:tcPr>
          <w:p>
            <w:pPr>
              <w:jc w:val="center"/>
              <w:ind w:right="84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92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33,333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1,939,647</w:t>
            </w:r>
          </w:p>
        </w:tc>
        <w:tc>
          <w:tcPr>
            <w:tcW w:w="0" w:type="dxa"/>
            <w:vAlign w:val="bottom"/>
          </w:tcPr>
          <w:p>
            <w:pPr>
              <w:spacing w:after="0"/>
              <w:rPr>
                <w:sz w:val="1"/>
                <w:szCs w:val="1"/>
                <w:color w:val="auto"/>
              </w:rPr>
            </w:pPr>
          </w:p>
        </w:tc>
      </w:tr>
      <w:tr>
        <w:trPr>
          <w:trHeight w:val="243"/>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14,807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691,190</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15,365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717,238</w:t>
            </w:r>
          </w:p>
        </w:tc>
        <w:tc>
          <w:tcPr>
            <w:tcW w:w="0" w:type="dxa"/>
            <w:vAlign w:val="bottom"/>
          </w:tcPr>
          <w:p>
            <w:pPr>
              <w:spacing w:after="0"/>
              <w:rPr>
                <w:sz w:val="1"/>
                <w:szCs w:val="1"/>
                <w:color w:val="auto"/>
              </w:rPr>
            </w:pPr>
          </w:p>
        </w:tc>
      </w:tr>
      <w:tr>
        <w:trPr>
          <w:trHeight w:val="243"/>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4,781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223,177</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3,529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164,733</w:t>
            </w:r>
          </w:p>
        </w:tc>
        <w:tc>
          <w:tcPr>
            <w:tcW w:w="0" w:type="dxa"/>
            <w:vAlign w:val="bottom"/>
          </w:tcPr>
          <w:p>
            <w:pPr>
              <w:spacing w:after="0"/>
              <w:rPr>
                <w:sz w:val="1"/>
                <w:szCs w:val="1"/>
                <w:color w:val="auto"/>
              </w:rPr>
            </w:pPr>
          </w:p>
        </w:tc>
      </w:tr>
      <w:tr>
        <w:trPr>
          <w:trHeight w:val="243"/>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7,706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359,716</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3,292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153,670</w:t>
            </w:r>
          </w:p>
        </w:tc>
        <w:tc>
          <w:tcPr>
            <w:tcW w:w="0" w:type="dxa"/>
            <w:vAlign w:val="bottom"/>
          </w:tcPr>
          <w:p>
            <w:pPr>
              <w:spacing w:after="0"/>
              <w:rPr>
                <w:sz w:val="1"/>
                <w:szCs w:val="1"/>
                <w:color w:val="auto"/>
              </w:rPr>
            </w:pPr>
          </w:p>
        </w:tc>
      </w:tr>
      <w:tr>
        <w:trPr>
          <w:trHeight w:val="243"/>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2,925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136,539</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125,149</w:t>
            </w:r>
          </w:p>
        </w:tc>
        <w:tc>
          <w:tcPr>
            <w:tcW w:w="0" w:type="dxa"/>
            <w:vAlign w:val="bottom"/>
          </w:tcPr>
          <w:p>
            <w:pPr>
              <w:spacing w:after="0"/>
              <w:rPr>
                <w:sz w:val="1"/>
                <w:szCs w:val="1"/>
                <w:color w:val="auto"/>
              </w:rPr>
            </w:pPr>
          </w:p>
        </w:tc>
      </w:tr>
      <w:tr>
        <w:trPr>
          <w:trHeight w:val="243"/>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3,806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177,664</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6,551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305,800</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8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stock options exercise and stock awards vested in fiscal year 2024, if any, are fully disclosed in Post’s filings with the SEC.</w:t>
      </w: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valued at the closing price of our common stock as reported on the NYSE on the date of vesting.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an involuntary termination of employment, each of our NEOs is eligible for compensation and benefits under their respective severance and change in control agreements (other than Mr. Vitale, who has no such agreement) and equity compensation award agreements as described below. Except for the treatment of his equity compensation awards granted by the Company, Mr. Vitale is not eligible to receive any other benefits upon a termination of his employment by us. Mr. Vitale is the President and Chief Executive Officer of Post and also is compensated by Post for his services as an employee of Post as disclosed in Post’s filings with the SEC.</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estimates of the amounts to which each NEO would be entitled to receive from the Company pursuant to his or her severance and change in control agreement (other than Mr. Vitale, who has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no such agreement) and equity compensation award agreements with us and in the event of (a) the voluntary termination of the NEO’s employment or the NEO’s retirement, (b) the involuntary not for cause termination of the NEO’s employment, (c) the involuntary termination of the NEO’s employment in connection with a change in control, or (d) the NEO’s death or disability (in conjunction with a termination), each as if such event had occurred on September 30, 2024.</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2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Robert V. Vitale</w:t>
            </w:r>
          </w:p>
        </w:tc>
        <w:tc>
          <w:tcPr>
            <w:tcW w:w="4120" w:type="dxa"/>
            <w:vAlign w:val="bottom"/>
            <w:tcBorders>
              <w:top w:val="single" w:sz="8" w:color="auto"/>
            </w:tcBorders>
          </w:tcPr>
          <w:p>
            <w:pPr>
              <w:ind w:left="720"/>
              <w:spacing w:after="0" w:line="205" w:lineRule="exact"/>
              <w:rPr>
                <w:sz w:val="20"/>
                <w:szCs w:val="20"/>
                <w:color w:val="auto"/>
              </w:rPr>
            </w:pPr>
            <w:r>
              <w:rPr>
                <w:rFonts w:ascii="Times New Roman" w:cs="Times New Roman" w:eastAsia="Times New Roman" w:hAnsi="Times New Roman"/>
                <w:sz w:val="18"/>
                <w:szCs w:val="18"/>
                <w:color w:val="auto"/>
              </w:rPr>
              <w:t>Cash (Salary and Bonus)</w:t>
            </w:r>
          </w:p>
        </w:tc>
      </w:tr>
      <w:tr>
        <w:trPr>
          <w:trHeight w:val="216"/>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Value of Stock and Option Awards</w:t>
            </w:r>
          </w:p>
        </w:tc>
      </w:tr>
      <w:tr>
        <w:trPr>
          <w:trHeight w:val="216"/>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Non-qualified Deferred Compensation</w:t>
            </w:r>
          </w:p>
        </w:tc>
      </w:tr>
      <w:tr>
        <w:trPr>
          <w:trHeight w:val="212"/>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r>
      <w:tr>
        <w:trPr>
          <w:trHeight w:val="238"/>
        </w:trPr>
        <w:tc>
          <w:tcPr>
            <w:tcW w:w="2360" w:type="dxa"/>
            <w:vAlign w:val="bottom"/>
          </w:tcPr>
          <w:p>
            <w:pPr>
              <w:spacing w:after="0"/>
              <w:rPr>
                <w:sz w:val="20"/>
                <w:szCs w:val="20"/>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r>
      <w:tr>
        <w:trPr>
          <w:trHeight w:val="257"/>
        </w:trPr>
        <w:tc>
          <w:tcPr>
            <w:tcW w:w="2360" w:type="dxa"/>
            <w:vAlign w:val="bottom"/>
          </w:tcPr>
          <w:p>
            <w:pPr>
              <w:spacing w:after="0"/>
              <w:rPr>
                <w:sz w:val="22"/>
                <w:szCs w:val="22"/>
                <w:color w:val="auto"/>
              </w:rPr>
            </w:pPr>
          </w:p>
        </w:tc>
        <w:tc>
          <w:tcPr>
            <w:tcW w:w="4120" w:type="dxa"/>
            <w:vAlign w:val="bottom"/>
          </w:tcPr>
          <w:p>
            <w:pPr>
              <w:ind w:left="720"/>
              <w:spacing w:after="0" w:line="256" w:lineRule="exact"/>
              <w:rPr>
                <w:sz w:val="20"/>
                <w:szCs w:val="20"/>
                <w:color w:val="auto"/>
              </w:rPr>
            </w:pPr>
            <w:r>
              <w:rPr>
                <w:rFonts w:ascii="Times New Roman" w:cs="Times New Roman" w:eastAsia="Times New Roman" w:hAnsi="Times New Roman"/>
                <w:sz w:val="18"/>
                <w:szCs w:val="18"/>
                <w:color w:val="auto"/>
              </w:rPr>
              <w:t>Value of Stock and Option Awards</w:t>
            </w:r>
            <w:r>
              <w:rPr>
                <w:rFonts w:ascii="Times New Roman" w:cs="Times New Roman" w:eastAsia="Times New Roman" w:hAnsi="Times New Roman"/>
                <w:sz w:val="26"/>
                <w:szCs w:val="26"/>
                <w:color w:val="auto"/>
                <w:vertAlign w:val="superscript"/>
              </w:rPr>
              <w:t>(1)</w:t>
            </w:r>
          </w:p>
        </w:tc>
      </w:tr>
      <w:tr>
        <w:trPr>
          <w:trHeight w:val="243"/>
        </w:trPr>
        <w:tc>
          <w:tcPr>
            <w:tcW w:w="2360" w:type="dxa"/>
            <w:vAlign w:val="bottom"/>
          </w:tcPr>
          <w:p>
            <w:pPr>
              <w:spacing w:after="0"/>
              <w:rPr>
                <w:sz w:val="21"/>
                <w:szCs w:val="21"/>
                <w:color w:val="auto"/>
              </w:rPr>
            </w:pPr>
          </w:p>
        </w:tc>
        <w:tc>
          <w:tcPr>
            <w:tcW w:w="4120" w:type="dxa"/>
            <w:vAlign w:val="bottom"/>
          </w:tcPr>
          <w:p>
            <w:pPr>
              <w:ind w:left="720"/>
              <w:spacing w:after="0" w:line="243" w:lineRule="exact"/>
              <w:rPr>
                <w:sz w:val="20"/>
                <w:szCs w:val="20"/>
                <w:color w:val="auto"/>
              </w:rPr>
            </w:pPr>
            <w:r>
              <w:rPr>
                <w:rFonts w:ascii="Times New Roman" w:cs="Times New Roman" w:eastAsia="Times New Roman" w:hAnsi="Times New Roman"/>
                <w:sz w:val="18"/>
                <w:szCs w:val="18"/>
                <w:color w:val="auto"/>
              </w:rPr>
              <w:t>Non-qualified Deferred Compensation</w:t>
            </w:r>
            <w:r>
              <w:rPr>
                <w:rFonts w:ascii="Times New Roman" w:cs="Times New Roman" w:eastAsia="Times New Roman" w:hAnsi="Times New Roman"/>
                <w:sz w:val="26"/>
                <w:szCs w:val="26"/>
                <w:color w:val="auto"/>
                <w:vertAlign w:val="superscript"/>
              </w:rPr>
              <w:t>(2)</w:t>
            </w:r>
          </w:p>
        </w:tc>
      </w:tr>
      <w:tr>
        <w:trPr>
          <w:trHeight w:val="212"/>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r>
      <w:tr>
        <w:trPr>
          <w:trHeight w:val="238"/>
        </w:trPr>
        <w:tc>
          <w:tcPr>
            <w:tcW w:w="2360" w:type="dxa"/>
            <w:vAlign w:val="bottom"/>
          </w:tcPr>
          <w:p>
            <w:pPr>
              <w:spacing w:after="0"/>
              <w:rPr>
                <w:sz w:val="20"/>
                <w:szCs w:val="20"/>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Paul A. Rode</w:t>
            </w: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r>
      <w:tr>
        <w:trPr>
          <w:trHeight w:val="257"/>
        </w:trPr>
        <w:tc>
          <w:tcPr>
            <w:tcW w:w="2360" w:type="dxa"/>
            <w:vAlign w:val="bottom"/>
          </w:tcPr>
          <w:p>
            <w:pPr>
              <w:spacing w:after="0"/>
              <w:rPr>
                <w:sz w:val="22"/>
                <w:szCs w:val="22"/>
                <w:color w:val="auto"/>
              </w:rPr>
            </w:pPr>
          </w:p>
        </w:tc>
        <w:tc>
          <w:tcPr>
            <w:tcW w:w="4120" w:type="dxa"/>
            <w:vAlign w:val="bottom"/>
          </w:tcPr>
          <w:p>
            <w:pPr>
              <w:ind w:left="720"/>
              <w:spacing w:after="0" w:line="256" w:lineRule="exact"/>
              <w:rPr>
                <w:sz w:val="20"/>
                <w:szCs w:val="20"/>
                <w:color w:val="auto"/>
              </w:rPr>
            </w:pPr>
            <w:r>
              <w:rPr>
                <w:rFonts w:ascii="Times New Roman" w:cs="Times New Roman" w:eastAsia="Times New Roman" w:hAnsi="Times New Roman"/>
                <w:sz w:val="18"/>
                <w:szCs w:val="18"/>
                <w:color w:val="auto"/>
              </w:rPr>
              <w:t>Value of Stock and Option Awards</w:t>
            </w:r>
            <w:r>
              <w:rPr>
                <w:rFonts w:ascii="Times New Roman" w:cs="Times New Roman" w:eastAsia="Times New Roman" w:hAnsi="Times New Roman"/>
                <w:sz w:val="26"/>
                <w:szCs w:val="26"/>
                <w:color w:val="auto"/>
                <w:vertAlign w:val="superscript"/>
              </w:rPr>
              <w:t>(1)</w:t>
            </w:r>
          </w:p>
        </w:tc>
      </w:tr>
      <w:tr>
        <w:trPr>
          <w:trHeight w:val="243"/>
        </w:trPr>
        <w:tc>
          <w:tcPr>
            <w:tcW w:w="2360" w:type="dxa"/>
            <w:vAlign w:val="bottom"/>
          </w:tcPr>
          <w:p>
            <w:pPr>
              <w:spacing w:after="0"/>
              <w:rPr>
                <w:sz w:val="21"/>
                <w:szCs w:val="21"/>
                <w:color w:val="auto"/>
              </w:rPr>
            </w:pPr>
          </w:p>
        </w:tc>
        <w:tc>
          <w:tcPr>
            <w:tcW w:w="4120" w:type="dxa"/>
            <w:vAlign w:val="bottom"/>
          </w:tcPr>
          <w:p>
            <w:pPr>
              <w:ind w:left="720"/>
              <w:spacing w:after="0" w:line="243" w:lineRule="exact"/>
              <w:rPr>
                <w:sz w:val="20"/>
                <w:szCs w:val="20"/>
                <w:color w:val="auto"/>
              </w:rPr>
            </w:pPr>
            <w:r>
              <w:rPr>
                <w:rFonts w:ascii="Times New Roman" w:cs="Times New Roman" w:eastAsia="Times New Roman" w:hAnsi="Times New Roman"/>
                <w:sz w:val="18"/>
                <w:szCs w:val="18"/>
                <w:color w:val="auto"/>
              </w:rPr>
              <w:t>Non-qualified Deferred Compensation</w:t>
            </w:r>
            <w:r>
              <w:rPr>
                <w:rFonts w:ascii="Times New Roman" w:cs="Times New Roman" w:eastAsia="Times New Roman" w:hAnsi="Times New Roman"/>
                <w:sz w:val="26"/>
                <w:szCs w:val="26"/>
                <w:color w:val="auto"/>
                <w:vertAlign w:val="superscript"/>
              </w:rPr>
              <w:t>(2)</w:t>
            </w:r>
          </w:p>
        </w:tc>
      </w:tr>
      <w:tr>
        <w:trPr>
          <w:trHeight w:val="212"/>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r>
      <w:tr>
        <w:trPr>
          <w:trHeight w:val="238"/>
        </w:trPr>
        <w:tc>
          <w:tcPr>
            <w:tcW w:w="2360" w:type="dxa"/>
            <w:vAlign w:val="bottom"/>
          </w:tcPr>
          <w:p>
            <w:pPr>
              <w:spacing w:after="0"/>
              <w:rPr>
                <w:sz w:val="20"/>
                <w:szCs w:val="20"/>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r>
      <w:tr>
        <w:trPr>
          <w:trHeight w:val="256"/>
        </w:trPr>
        <w:tc>
          <w:tcPr>
            <w:tcW w:w="2360" w:type="dxa"/>
            <w:vAlign w:val="bottom"/>
          </w:tcPr>
          <w:p>
            <w:pPr>
              <w:spacing w:after="0"/>
              <w:rPr>
                <w:sz w:val="22"/>
                <w:szCs w:val="22"/>
                <w:color w:val="auto"/>
              </w:rPr>
            </w:pPr>
          </w:p>
        </w:tc>
        <w:tc>
          <w:tcPr>
            <w:tcW w:w="4120" w:type="dxa"/>
            <w:vAlign w:val="bottom"/>
          </w:tcPr>
          <w:p>
            <w:pPr>
              <w:ind w:left="720"/>
              <w:spacing w:after="0" w:line="256" w:lineRule="exact"/>
              <w:rPr>
                <w:sz w:val="20"/>
                <w:szCs w:val="20"/>
                <w:color w:val="auto"/>
              </w:rPr>
            </w:pPr>
            <w:r>
              <w:rPr>
                <w:rFonts w:ascii="Times New Roman" w:cs="Times New Roman" w:eastAsia="Times New Roman" w:hAnsi="Times New Roman"/>
                <w:sz w:val="18"/>
                <w:szCs w:val="18"/>
                <w:color w:val="auto"/>
              </w:rPr>
              <w:t>Value of Stock and Option Awards</w:t>
            </w:r>
            <w:r>
              <w:rPr>
                <w:rFonts w:ascii="Times New Roman" w:cs="Times New Roman" w:eastAsia="Times New Roman" w:hAnsi="Times New Roman"/>
                <w:sz w:val="26"/>
                <w:szCs w:val="26"/>
                <w:color w:val="auto"/>
                <w:vertAlign w:val="superscript"/>
              </w:rPr>
              <w:t>(1)</w:t>
            </w:r>
          </w:p>
        </w:tc>
      </w:tr>
      <w:tr>
        <w:trPr>
          <w:trHeight w:val="243"/>
        </w:trPr>
        <w:tc>
          <w:tcPr>
            <w:tcW w:w="2360" w:type="dxa"/>
            <w:vAlign w:val="bottom"/>
          </w:tcPr>
          <w:p>
            <w:pPr>
              <w:spacing w:after="0"/>
              <w:rPr>
                <w:sz w:val="21"/>
                <w:szCs w:val="21"/>
                <w:color w:val="auto"/>
              </w:rPr>
            </w:pPr>
          </w:p>
        </w:tc>
        <w:tc>
          <w:tcPr>
            <w:tcW w:w="4120" w:type="dxa"/>
            <w:vAlign w:val="bottom"/>
          </w:tcPr>
          <w:p>
            <w:pPr>
              <w:ind w:left="720"/>
              <w:spacing w:after="0" w:line="243" w:lineRule="exact"/>
              <w:rPr>
                <w:sz w:val="20"/>
                <w:szCs w:val="20"/>
                <w:color w:val="auto"/>
              </w:rPr>
            </w:pPr>
            <w:r>
              <w:rPr>
                <w:rFonts w:ascii="Times New Roman" w:cs="Times New Roman" w:eastAsia="Times New Roman" w:hAnsi="Times New Roman"/>
                <w:sz w:val="18"/>
                <w:szCs w:val="18"/>
                <w:color w:val="auto"/>
              </w:rPr>
              <w:t>Non-qualified Deferred Compensation</w:t>
            </w:r>
            <w:r>
              <w:rPr>
                <w:rFonts w:ascii="Times New Roman" w:cs="Times New Roman" w:eastAsia="Times New Roman" w:hAnsi="Times New Roman"/>
                <w:sz w:val="26"/>
                <w:szCs w:val="26"/>
                <w:color w:val="auto"/>
                <w:vertAlign w:val="superscript"/>
              </w:rPr>
              <w:t>(2)</w:t>
            </w:r>
          </w:p>
        </w:tc>
      </w:tr>
      <w:tr>
        <w:trPr>
          <w:trHeight w:val="212"/>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r>
      <w:tr>
        <w:trPr>
          <w:trHeight w:val="238"/>
        </w:trPr>
        <w:tc>
          <w:tcPr>
            <w:tcW w:w="2360" w:type="dxa"/>
            <w:vAlign w:val="bottom"/>
          </w:tcPr>
          <w:p>
            <w:pPr>
              <w:spacing w:after="0"/>
              <w:rPr>
                <w:sz w:val="20"/>
                <w:szCs w:val="20"/>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r>
      <w:tr>
        <w:trPr>
          <w:trHeight w:val="257"/>
        </w:trPr>
        <w:tc>
          <w:tcPr>
            <w:tcW w:w="2360" w:type="dxa"/>
            <w:vAlign w:val="bottom"/>
          </w:tcPr>
          <w:p>
            <w:pPr>
              <w:spacing w:after="0"/>
              <w:rPr>
                <w:sz w:val="22"/>
                <w:szCs w:val="22"/>
                <w:color w:val="auto"/>
              </w:rPr>
            </w:pPr>
          </w:p>
        </w:tc>
        <w:tc>
          <w:tcPr>
            <w:tcW w:w="4120" w:type="dxa"/>
            <w:vAlign w:val="bottom"/>
          </w:tcPr>
          <w:p>
            <w:pPr>
              <w:ind w:left="720"/>
              <w:spacing w:after="0" w:line="256" w:lineRule="exact"/>
              <w:rPr>
                <w:sz w:val="20"/>
                <w:szCs w:val="20"/>
                <w:color w:val="auto"/>
              </w:rPr>
            </w:pPr>
            <w:r>
              <w:rPr>
                <w:rFonts w:ascii="Times New Roman" w:cs="Times New Roman" w:eastAsia="Times New Roman" w:hAnsi="Times New Roman"/>
                <w:sz w:val="18"/>
                <w:szCs w:val="18"/>
                <w:color w:val="auto"/>
              </w:rPr>
              <w:t>Value of Stock and Option Awards</w:t>
            </w:r>
            <w:r>
              <w:rPr>
                <w:rFonts w:ascii="Times New Roman" w:cs="Times New Roman" w:eastAsia="Times New Roman" w:hAnsi="Times New Roman"/>
                <w:sz w:val="26"/>
                <w:szCs w:val="26"/>
                <w:color w:val="auto"/>
                <w:vertAlign w:val="superscript"/>
              </w:rPr>
              <w:t>(1)</w:t>
            </w:r>
          </w:p>
        </w:tc>
      </w:tr>
      <w:tr>
        <w:trPr>
          <w:trHeight w:val="243"/>
        </w:trPr>
        <w:tc>
          <w:tcPr>
            <w:tcW w:w="2360" w:type="dxa"/>
            <w:vAlign w:val="bottom"/>
          </w:tcPr>
          <w:p>
            <w:pPr>
              <w:spacing w:after="0"/>
              <w:rPr>
                <w:sz w:val="21"/>
                <w:szCs w:val="21"/>
                <w:color w:val="auto"/>
              </w:rPr>
            </w:pPr>
          </w:p>
        </w:tc>
        <w:tc>
          <w:tcPr>
            <w:tcW w:w="4120" w:type="dxa"/>
            <w:vAlign w:val="bottom"/>
          </w:tcPr>
          <w:p>
            <w:pPr>
              <w:ind w:left="720"/>
              <w:spacing w:after="0" w:line="243" w:lineRule="exact"/>
              <w:rPr>
                <w:sz w:val="20"/>
                <w:szCs w:val="20"/>
                <w:color w:val="auto"/>
              </w:rPr>
            </w:pPr>
            <w:r>
              <w:rPr>
                <w:rFonts w:ascii="Times New Roman" w:cs="Times New Roman" w:eastAsia="Times New Roman" w:hAnsi="Times New Roman"/>
                <w:sz w:val="18"/>
                <w:szCs w:val="18"/>
                <w:color w:val="auto"/>
              </w:rPr>
              <w:t>Non-qualified Deferred Compensation</w:t>
            </w:r>
            <w:r>
              <w:rPr>
                <w:rFonts w:ascii="Times New Roman" w:cs="Times New Roman" w:eastAsia="Times New Roman" w:hAnsi="Times New Roman"/>
                <w:sz w:val="26"/>
                <w:szCs w:val="26"/>
                <w:color w:val="auto"/>
                <w:vertAlign w:val="superscript"/>
              </w:rPr>
              <w:t>(2)</w:t>
            </w:r>
          </w:p>
        </w:tc>
      </w:tr>
      <w:tr>
        <w:trPr>
          <w:trHeight w:val="212"/>
        </w:trPr>
        <w:tc>
          <w:tcPr>
            <w:tcW w:w="236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r>
      <w:tr>
        <w:trPr>
          <w:trHeight w:val="238"/>
        </w:trPr>
        <w:tc>
          <w:tcPr>
            <w:tcW w:w="2360" w:type="dxa"/>
            <w:vAlign w:val="bottom"/>
          </w:tcPr>
          <w:p>
            <w:pPr>
              <w:spacing w:after="0"/>
              <w:rPr>
                <w:sz w:val="20"/>
                <w:szCs w:val="20"/>
                <w:color w:val="auto"/>
              </w:rPr>
            </w:pP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92"/>
        </w:trPr>
        <w:tc>
          <w:tcPr>
            <w:tcW w:w="2360" w:type="dxa"/>
            <w:vAlign w:val="bottom"/>
          </w:tcPr>
          <w:p>
            <w:pPr>
              <w:spacing w:after="0"/>
              <w:rPr>
                <w:sz w:val="24"/>
                <w:szCs w:val="24"/>
                <w:color w:val="auto"/>
              </w:rPr>
            </w:pPr>
          </w:p>
        </w:tc>
        <w:tc>
          <w:tcPr>
            <w:tcW w:w="41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-4020185</wp:posOffset>
            </wp:positionV>
            <wp:extent cx="69951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-3745230</wp:posOffset>
            </wp:positionV>
            <wp:extent cx="69951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-3471545</wp:posOffset>
            </wp:positionV>
            <wp:extent cx="699516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-3162935</wp:posOffset>
            </wp:positionV>
            <wp:extent cx="699516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631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-2836545</wp:posOffset>
            </wp:positionV>
            <wp:extent cx="6995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-2528570</wp:posOffset>
            </wp:positionV>
            <wp:extent cx="6995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-2228215</wp:posOffset>
            </wp:positionV>
            <wp:extent cx="699516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631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-1928495</wp:posOffset>
            </wp:positionV>
            <wp:extent cx="699516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-1619885</wp:posOffset>
            </wp:positionV>
            <wp:extent cx="699516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631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-1294130</wp:posOffset>
            </wp:positionV>
            <wp:extent cx="6995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-985520</wp:posOffset>
            </wp:positionV>
            <wp:extent cx="6995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-685165</wp:posOffset>
            </wp:positionV>
            <wp:extent cx="699516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625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-385445</wp:posOffset>
            </wp:positionV>
            <wp:extent cx="69951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2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Cause</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95"/>
        </w:trPr>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16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20" w:type="dxa"/>
            <w:vAlign w:val="bottom"/>
            <w:gridSpan w:val="2"/>
            <w:vMerge w:val="continue"/>
          </w:tcPr>
          <w:p>
            <w:pPr>
              <w:spacing w:after="0"/>
              <w:rPr>
                <w:sz w:val="4"/>
                <w:szCs w:val="4"/>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17"/>
        </w:trPr>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1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020" w:type="dxa"/>
            <w:vAlign w:val="bottom"/>
            <w:gridSpan w:val="2"/>
            <w:vMerge w:val="continue"/>
          </w:tcPr>
          <w:p>
            <w:pPr>
              <w:spacing w:after="0"/>
              <w:rPr>
                <w:sz w:val="2"/>
                <w:szCs w:val="2"/>
                <w:color w:val="auto"/>
              </w:rPr>
            </w:pPr>
          </w:p>
        </w:tc>
        <w:tc>
          <w:tcPr>
            <w:tcW w:w="1000" w:type="dxa"/>
            <w:vAlign w:val="bottom"/>
            <w:vMerge w:val="restart"/>
          </w:tcPr>
          <w:p>
            <w:pPr>
              <w:jc w:val="center"/>
              <w:spacing w:after="0" w:line="204" w:lineRule="exact"/>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0"/>
                <w:szCs w:val="10"/>
                <w:b w:val="1"/>
                <w:bCs w:val="1"/>
                <w:color w:val="auto"/>
                <w:w w:val="94"/>
              </w:rPr>
              <w:t>(3)</w:t>
            </w:r>
          </w:p>
        </w:tc>
        <w:tc>
          <w:tcPr>
            <w:tcW w:w="160" w:type="dxa"/>
            <w:vAlign w:val="bottom"/>
          </w:tcPr>
          <w:p>
            <w:pPr>
              <w:spacing w:after="0"/>
              <w:rPr>
                <w:sz w:val="2"/>
                <w:szCs w:val="2"/>
                <w:color w:val="auto"/>
              </w:rPr>
            </w:pPr>
          </w:p>
        </w:tc>
        <w:tc>
          <w:tcPr>
            <w:tcW w:w="1000" w:type="dxa"/>
            <w:vAlign w:val="bottom"/>
            <w:vMerge w:val="restart"/>
          </w:tcPr>
          <w:p>
            <w:pPr>
              <w:jc w:val="center"/>
              <w:spacing w:after="0" w:line="204" w:lineRule="exact"/>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0"/>
                <w:szCs w:val="10"/>
                <w:b w:val="1"/>
                <w:bCs w:val="1"/>
                <w:color w:val="auto"/>
                <w:w w:val="94"/>
              </w:rPr>
              <w:t>(4)</w:t>
            </w:r>
          </w:p>
        </w:tc>
        <w:tc>
          <w:tcPr>
            <w:tcW w:w="160" w:type="dxa"/>
            <w:vAlign w:val="bottom"/>
          </w:tcPr>
          <w:p>
            <w:pPr>
              <w:spacing w:after="0"/>
              <w:rPr>
                <w:sz w:val="2"/>
                <w:szCs w:val="2"/>
                <w:color w:val="auto"/>
              </w:rPr>
            </w:pPr>
          </w:p>
        </w:tc>
        <w:tc>
          <w:tcPr>
            <w:tcW w:w="1020" w:type="dxa"/>
            <w:vAlign w:val="bottom"/>
            <w:vMerge w:val="restart"/>
          </w:tcPr>
          <w:p>
            <w:pPr>
              <w:jc w:val="center"/>
              <w:spacing w:after="0" w:line="204"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0"/>
                <w:szCs w:val="10"/>
                <w:b w:val="1"/>
                <w:bCs w:val="1"/>
                <w:color w:val="auto"/>
              </w:rPr>
              <w:t>(4)</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45,589,790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49,385,640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49,385,640</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45,589,790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49,385,640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49,385,640</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3,375,000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5,062,500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24,124,238</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60,750,125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60,750,125</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726,675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726,675</w:t>
            </w:r>
          </w:p>
        </w:tc>
        <w:tc>
          <w:tcPr>
            <w:tcW w:w="0" w:type="dxa"/>
            <w:vAlign w:val="bottom"/>
          </w:tcPr>
          <w:p>
            <w:pPr>
              <w:spacing w:after="0"/>
              <w:rPr>
                <w:sz w:val="1"/>
                <w:szCs w:val="1"/>
                <w:color w:val="auto"/>
              </w:rPr>
            </w:pPr>
          </w:p>
        </w:tc>
      </w:tr>
      <w:tr>
        <w:trPr>
          <w:trHeight w:val="212"/>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46,886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70,329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726,675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28,272,799</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66,609,629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61,476,800</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875,000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1,750,000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5,425,271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12,934,996</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12,934,996</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180,117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180,117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180,117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180,117</w:t>
            </w:r>
          </w:p>
        </w:tc>
        <w:tc>
          <w:tcPr>
            <w:tcW w:w="0" w:type="dxa"/>
            <w:vAlign w:val="bottom"/>
          </w:tcPr>
          <w:p>
            <w:pPr>
              <w:spacing w:after="0"/>
              <w:rPr>
                <w:sz w:val="1"/>
                <w:szCs w:val="1"/>
                <w:color w:val="auto"/>
              </w:rPr>
            </w:pPr>
          </w:p>
        </w:tc>
      </w:tr>
      <w:tr>
        <w:trPr>
          <w:trHeight w:val="212"/>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23,596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47,191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180,117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6,503,984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14,912,304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13,115,113</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1,610,000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4,891,785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10,188,087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10,188,087</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110,555</w:t>
            </w:r>
          </w:p>
        </w:tc>
        <w:tc>
          <w:tcPr>
            <w:tcW w:w="0" w:type="dxa"/>
            <w:vAlign w:val="bottom"/>
          </w:tcPr>
          <w:p>
            <w:pPr>
              <w:spacing w:after="0"/>
              <w:rPr>
                <w:sz w:val="1"/>
                <w:szCs w:val="1"/>
                <w:color w:val="auto"/>
              </w:rPr>
            </w:pPr>
          </w:p>
        </w:tc>
      </w:tr>
      <w:tr>
        <w:trPr>
          <w:trHeight w:val="212"/>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110,555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5,815,153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11,924,267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10,298,642</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709,500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1,419,000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4,109,347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9,261,588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9,261,588</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24,080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48,160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4,842,927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10,728,748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9,261,588</w:t>
            </w:r>
          </w:p>
        </w:tc>
        <w:tc>
          <w:tcPr>
            <w:tcW w:w="0" w:type="dxa"/>
            <w:vAlign w:val="bottom"/>
          </w:tcPr>
          <w:p>
            <w:pPr>
              <w:spacing w:after="0"/>
              <w:rPr>
                <w:sz w:val="1"/>
                <w:szCs w:val="1"/>
                <w:color w:val="auto"/>
              </w:rPr>
            </w:pPr>
          </w:p>
        </w:tc>
      </w:tr>
    </w:tbl>
    <w:p>
      <w:pPr>
        <w:sectPr>
          <w:pgSz w:w="11900" w:h="16838" w:orient="portrait"/>
          <w:cols w:equalWidth="0" w:num="2">
            <w:col w:w="6600" w:space="100"/>
            <w:col w:w="4420"/>
          </w:cols>
          <w:pgMar w:left="320" w:top="482" w:right="4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Cause</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06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00" w:type="dxa"/>
            <w:vAlign w:val="bottom"/>
            <w:vMerge w:val="restart"/>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(3)</w:t>
            </w:r>
          </w:p>
        </w:tc>
        <w:tc>
          <w:tcPr>
            <w:tcW w:w="160" w:type="dxa"/>
            <w:vAlign w:val="bottom"/>
          </w:tcPr>
          <w:p>
            <w:pPr>
              <w:spacing w:after="0"/>
              <w:rPr>
                <w:sz w:val="2"/>
                <w:szCs w:val="2"/>
                <w:color w:val="auto"/>
              </w:rPr>
            </w:pPr>
          </w:p>
        </w:tc>
        <w:tc>
          <w:tcPr>
            <w:tcW w:w="920" w:type="dxa"/>
            <w:vAlign w:val="bottom"/>
            <w:vMerge w:val="restart"/>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(4)</w:t>
            </w:r>
          </w:p>
        </w:tc>
        <w:tc>
          <w:tcPr>
            <w:tcW w:w="160" w:type="dxa"/>
            <w:vAlign w:val="bottom"/>
          </w:tcPr>
          <w:p>
            <w:pPr>
              <w:spacing w:after="0"/>
              <w:rPr>
                <w:sz w:val="2"/>
                <w:szCs w:val="2"/>
                <w:color w:val="auto"/>
              </w:rPr>
            </w:pPr>
          </w:p>
        </w:tc>
        <w:tc>
          <w:tcPr>
            <w:tcW w:w="960" w:type="dxa"/>
            <w:vAlign w:val="bottom"/>
            <w:vMerge w:val="restart"/>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(4)</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tcBorders>
              <w:bottom w:val="single" w:sz="8" w:color="auto"/>
            </w:tcBorders>
            <w:vMerge w:val="continue"/>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Singh</w:t>
            </w:r>
          </w:p>
        </w:tc>
        <w:tc>
          <w:tcPr>
            <w:tcW w:w="55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Cash (Salary and Bonus)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620,000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1,240,000</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5580" w:type="dxa"/>
            <w:vAlign w:val="bottom"/>
            <w:gridSpan w:val="2"/>
          </w:tcPr>
          <w:p>
            <w:pPr>
              <w:ind w:left="2080"/>
              <w:spacing w:after="0" w:line="256" w:lineRule="exact"/>
              <w:rPr>
                <w:sz w:val="20"/>
                <w:szCs w:val="20"/>
                <w:color w:val="auto"/>
              </w:rPr>
            </w:pPr>
            <w:r>
              <w:rPr>
                <w:rFonts w:ascii="Times New Roman" w:cs="Times New Roman" w:eastAsia="Times New Roman" w:hAnsi="Times New Roman"/>
                <w:sz w:val="18"/>
                <w:szCs w:val="18"/>
                <w:color w:val="auto"/>
              </w:rPr>
              <w:t>Value of Stock and Option Awards</w:t>
            </w:r>
            <w:r>
              <w:rPr>
                <w:rFonts w:ascii="Times New Roman" w:cs="Times New Roman" w:eastAsia="Times New Roman" w:hAnsi="Times New Roman"/>
                <w:sz w:val="26"/>
                <w:szCs w:val="26"/>
                <w:color w:val="auto"/>
                <w:vertAlign w:val="superscript"/>
              </w:rPr>
              <w:t>(1)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812,373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3,867,925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3,867,925</w:t>
            </w:r>
          </w:p>
        </w:tc>
        <w:tc>
          <w:tcPr>
            <w:tcW w:w="0" w:type="dxa"/>
            <w:vAlign w:val="bottom"/>
          </w:tcPr>
          <w:p>
            <w:pPr>
              <w:spacing w:after="0"/>
              <w:rPr>
                <w:sz w:val="1"/>
                <w:szCs w:val="1"/>
                <w:color w:val="auto"/>
              </w:rPr>
            </w:pPr>
          </w:p>
        </w:tc>
      </w:tr>
      <w:tr>
        <w:trPr>
          <w:trHeight w:val="257"/>
        </w:trPr>
        <w:tc>
          <w:tcPr>
            <w:tcW w:w="1220" w:type="dxa"/>
            <w:vAlign w:val="bottom"/>
            <w:shd w:val="clear" w:color="auto" w:fill="CCEEFF"/>
          </w:tcPr>
          <w:p>
            <w:pPr>
              <w:spacing w:after="0"/>
              <w:rPr>
                <w:sz w:val="22"/>
                <w:szCs w:val="22"/>
                <w:color w:val="auto"/>
              </w:rPr>
            </w:pPr>
          </w:p>
        </w:tc>
        <w:tc>
          <w:tcPr>
            <w:tcW w:w="5580" w:type="dxa"/>
            <w:vAlign w:val="bottom"/>
            <w:gridSpan w:val="2"/>
            <w:shd w:val="clear" w:color="auto" w:fill="CCEEFF"/>
          </w:tcPr>
          <w:p>
            <w:pPr>
              <w:ind w:left="2080"/>
              <w:spacing w:after="0" w:line="256" w:lineRule="exact"/>
              <w:rPr>
                <w:sz w:val="20"/>
                <w:szCs w:val="20"/>
                <w:color w:val="auto"/>
              </w:rPr>
            </w:pPr>
            <w:r>
              <w:rPr>
                <w:rFonts w:ascii="Times New Roman" w:cs="Times New Roman" w:eastAsia="Times New Roman" w:hAnsi="Times New Roman"/>
                <w:sz w:val="18"/>
                <w:szCs w:val="18"/>
                <w:color w:val="auto"/>
              </w:rPr>
              <w:t>Non-qualified Deferred Compensation</w:t>
            </w:r>
            <w:r>
              <w:rPr>
                <w:rFonts w:ascii="Times New Roman" w:cs="Times New Roman" w:eastAsia="Times New Roman" w:hAnsi="Times New Roman"/>
                <w:sz w:val="26"/>
                <w:szCs w:val="26"/>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16,815</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1,440,781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5,123,740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3,867,925</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right="10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Post option awards were valued at the closing price of Post’s common stock on September 30, 2024 of $115.75. All unvested Company RSUs and option awards were valued at the closing price of our common stock on September 30, 2024 of $60.72. All unvested Company PRSU awards were value at maximum performance at the closing price of our common stock on September 30, 2024 of $60.72. Stock options are valued at the difference between the exercise price of the stock option and the applicable closing price on September 30, 2024.</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to be paid in lump sum unless otherwise specified.</w:t>
      </w:r>
    </w:p>
    <w:p>
      <w:pPr>
        <w:spacing w:after="0" w:line="9"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pro rata vesting of PRSUs at maximum for all named executive officers, in each case based on actual performance as of September 30, 2024, and vested stock options for all named executive officers other than Mr. Vitale.</w:t>
      </w:r>
    </w:p>
    <w:p>
      <w:pPr>
        <w:ind w:left="540" w:right="260" w:hanging="424"/>
        <w:spacing w:after="0" w:line="26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vesting of PRSUs at maximum based on actual performance as of September 30, 2024 and accelerated vesting of all RSUs for all named executive officers and vested stock options for all named executive officers other than Mr. Vitale.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under the Severance and Change in Control Agreements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each of our named executive officers other than Mr. Vitale (the “Severance and CIC Agreements”). Under the Severance and CIC Agreements, all of our NEOs, other than Mr. Vitale, are eligible for severance benefits in the event his or her employment is terminated involuntarily other than for “cause.” Severance benefits relating to a termination other than for “cause” and not in connection with a “change in control” or resulting from an executive’s death or disability consist of the following:</w:t>
      </w:r>
    </w:p>
    <w:p>
      <w:pPr>
        <w:spacing w:after="0" w:line="85" w:lineRule="exact"/>
        <w:rPr>
          <w:sz w:val="20"/>
          <w:szCs w:val="20"/>
          <w:color w:val="auto"/>
        </w:rPr>
      </w:pPr>
    </w:p>
    <w:p>
      <w:pPr>
        <w:ind w:left="1080" w:right="2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one times, or 1.0x (or two times, or 2.0x, in the case of Ms. Davenport), the sum of (a) executive’s base salary, plus (b) executive’s target bonus for the year in which the termination occurs (the “Standard Severance Benefits”), payable in substantially equal installments in accordance with the Company’s regular payroll practices over 12 months (or 24 months in the case of Ms. Davenport) commencing 60 days after the date of termination (each, the applicable “Standard Severance Period”);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12 months (24 months for Ms. Davenport).</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Severance benefits relating to a termination other than for “cause” that occurs within six months before or 24 months after a “change in control” consist of:</w:t>
      </w:r>
    </w:p>
    <w:p>
      <w:pPr>
        <w:spacing w:after="0" w:line="67" w:lineRule="exact"/>
        <w:rPr>
          <w:sz w:val="20"/>
          <w:szCs w:val="20"/>
          <w:color w:val="auto"/>
        </w:rPr>
      </w:pPr>
    </w:p>
    <w:p>
      <w:pPr>
        <w:ind w:left="1080" w:right="4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two times, or 2.0x (or three times, or 3.0x, in the case of Ms. Davenport), the sum of (a) executive’s base salary, plus (b) executive’s target bonus for the year in which the termination occurs, payable within 60 days after the date of termination; provided, however, that if the change in control does not constitute a change in control within the meaning of Section 409A of the Internal Revenue Code of 1986, as amended (the “Code”), then the portion of such severance up</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to the amount of the Standard Severance Benefits shall be payable in equal installments in accordance with the Company’s regular payroll practices over the Standard Severance Period; and</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24 months (36 months for Ms. Davenport).</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payment of the foregoing severance benefits to an executive under a Severance and CIC Agreement is in each case subject to the executive entering into a customary release of claims with the Company. The Severance and CIC Agreements also provide for customary non-competition and non-solicitation restrictive covenants for the duration of the applicable Standard Severance Period.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Severance and CIC Agreements, the following definitions apply:</w:t>
      </w:r>
    </w:p>
    <w:p>
      <w:pPr>
        <w:spacing w:after="0" w:line="131" w:lineRule="exact"/>
        <w:rPr>
          <w:sz w:val="20"/>
          <w:szCs w:val="20"/>
          <w:color w:val="auto"/>
        </w:rPr>
      </w:pPr>
    </w:p>
    <w:p>
      <w:pPr>
        <w:ind w:left="1080" w:hanging="424"/>
        <w:spacing w:after="0" w:line="253"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the continued failure by executive to devote reasonable time and effort to the performance of Executive’s duties (other than any such failure resulting from executive’s incapacity due to physical or mental illness) after written demand therefor has been delivered to executive by the Company that specifically identifies how Executive has not devoted reasonable time and effort to the performance of executive’s duties; or (ii) the willful engaging by executive in misconduct which is materially injurious to the Company, monetarily or otherwise; or (iii) executive’s conviction of, or plea of guilty or nolo contendere to, a felony or a crime involving moral turpitude; in any case as determined by the Board upon the good faith vote of not less than a majority of the Board, after reasonable notice to executive specifying in writing the basis or bases for the proposed termination for Cause and after executive has been provided an opportunity to be heard before a meeting of the Board held upon reasonable notice to all directors; provided, however, that a termination for Cause shall not include a termination attributable to: (1) bad judgment or negligence on the part of executive other than habitual negligence; (2) an act or omission believed by executive in good faith to have been in or not opposed to the best interests of the Company and reasonably believed by executive to be lawful; or (3) the good faith conduct of executive in connection with a Change in Control (including executive’s opposition to or support thereof).</w:t>
      </w:r>
    </w:p>
    <w:p>
      <w:pPr>
        <w:spacing w:after="0" w:line="95"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same definition as under the 2019 LTIP, and means, except as otherwise provided in a separate written agreement, any of the following:</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Board cease for any reason to constitute at least a majority of the Board.</w:t>
      </w:r>
    </w:p>
    <w:p>
      <w:pPr>
        <w:spacing w:after="0" w:line="130"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w:t>
      </w:r>
    </w:p>
    <w:p>
      <w:pPr>
        <w:spacing w:after="0" w:line="92"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or any of its Subsidiaries,</w:t>
      </w:r>
    </w:p>
    <w:p>
      <w:pPr>
        <w:spacing w:after="0" w:line="130" w:lineRule="exact"/>
        <w:rPr>
          <w:rFonts w:ascii="Times New Roman" w:cs="Times New Roman" w:eastAsia="Times New Roman" w:hAnsi="Times New Roman"/>
          <w:sz w:val="18"/>
          <w:szCs w:val="18"/>
          <w:color w:val="auto"/>
        </w:rPr>
      </w:pPr>
    </w:p>
    <w:p>
      <w:pPr>
        <w:ind w:left="2080" w:hanging="533"/>
        <w:spacing w:after="0" w:line="26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81" w:lineRule="exact"/>
        <w:rPr>
          <w:rFonts w:ascii="Times New Roman" w:cs="Times New Roman" w:eastAsia="Times New Roman" w:hAnsi="Times New Roman"/>
          <w:sz w:val="18"/>
          <w:szCs w:val="18"/>
          <w:color w:val="auto"/>
        </w:rPr>
      </w:pPr>
    </w:p>
    <w:p>
      <w:pPr>
        <w:ind w:left="2080" w:right="420" w:hanging="533"/>
        <w:spacing w:after="0" w:line="282"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40"/>
          </w:cols>
          <w:pgMar w:left="320" w:top="482"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580" w:hanging="439"/>
        <w:spacing w:after="0" w:line="282"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 “Business Combination”), unless in each case following such Business Combination:</w:t>
      </w:r>
    </w:p>
    <w:p>
      <w:pPr>
        <w:spacing w:after="0" w:line="67" w:lineRule="exact"/>
        <w:rPr>
          <w:rFonts w:ascii="Times New Roman" w:cs="Times New Roman" w:eastAsia="Times New Roman" w:hAnsi="Times New Roman"/>
          <w:sz w:val="18"/>
          <w:szCs w:val="18"/>
          <w:color w:val="auto"/>
        </w:rPr>
      </w:pPr>
    </w:p>
    <w:p>
      <w:pPr>
        <w:ind w:left="2080" w:right="200" w:hanging="533"/>
        <w:spacing w:after="0" w:line="258"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8" w:lineRule="exact"/>
        <w:rPr>
          <w:rFonts w:ascii="Times New Roman" w:cs="Times New Roman" w:eastAsia="Times New Roman" w:hAnsi="Times New Roman"/>
          <w:sz w:val="18"/>
          <w:szCs w:val="18"/>
          <w:color w:val="auto"/>
        </w:rPr>
      </w:pPr>
    </w:p>
    <w:p>
      <w:pPr>
        <w:ind w:left="2080" w:right="160" w:hanging="533"/>
        <w:spacing w:after="0" w:line="25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92" w:lineRule="exact"/>
        <w:rPr>
          <w:rFonts w:ascii="Times New Roman" w:cs="Times New Roman" w:eastAsia="Times New Roman" w:hAnsi="Times New Roman"/>
          <w:sz w:val="18"/>
          <w:szCs w:val="18"/>
          <w:color w:val="auto"/>
        </w:rPr>
      </w:pPr>
    </w:p>
    <w:p>
      <w:pPr>
        <w:ind w:left="2080" w:right="20" w:hanging="533"/>
        <w:spacing w:after="0" w:line="26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Board at the time of the execution of the initial agreement, or of the action of the Board, approving such Business Combination.</w:t>
      </w:r>
    </w:p>
    <w:p>
      <w:pPr>
        <w:spacing w:after="0" w:line="81"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 transactions).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5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 Agreements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w:t>
      </w:r>
    </w:p>
    <w:p>
      <w:pPr>
        <w:spacing w:after="0" w:line="5" w:lineRule="exact"/>
        <w:rPr>
          <w:sz w:val="20"/>
          <w:szCs w:val="20"/>
          <w:color w:val="auto"/>
        </w:rPr>
      </w:pPr>
    </w:p>
    <w:p>
      <w:pPr>
        <w:ind w:left="120" w:hanging="4"/>
        <w:spacing w:after="0" w:line="253" w:lineRule="auto"/>
        <w:tabs>
          <w:tab w:leader="none" w:pos="3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vesting rules for equity awards are as follows:</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issued to officers under the 2019 LTIP vest in whole upon a termination because of death or disability.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agreements issued under the 2019 LTIP provide that if the officer’s employment with a Company affiliate terminates as a result of the sale of his or her employing business or that Company affiliate, and the acquirer does not agree to assume the award on substantially the same terms, then the award fully vests.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granted under the 2019 LTIP will remain exercisable until the expiration of the award under its terms.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named executive officers has an employment agreement with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2024</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All non-management directors received an annual retainer of $70,000. The chairperson of our Audit Committee receives an additional annual retainer of $20,000 and all other members of the Audit Committee receive an additional annual retainer of $10,000. The chairperson of our Corporate Governance and Compensation Committee receives an additional annual retainer of $15,000 and all other members of the Corporate Governance and Compensation Committee receives an additional annual retainer of $7,500. The independent lead director of our Board receives an additional annual retainer of $20,000.</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cash compensation, all non-management directors received an annual grant in the form of RSUs with a grant date fair value of approximately $125,000 calculated in accordance with FASB ASC Topic 718. All awards fully vest on the first anniversary of the date of grant. All RSU awards fully vest at the director’s disability or death, but RSUs shall be forfeited and cancelled upon a director’s earlier resignation or removal. Directors may elect to defer settlement of RSUs until separation from service.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Under our Deferred Compensation Plan for Directors, any non-management director may elect to defer, with certain limitations, his or her cash retainer, in whole or in part. Deferred compensation may be notionally invested in BellRing common stock equivalents or in a number of mutual funds operated by The Vanguard Group Inc. with a variety of investment strategies and objectives. Deferrals in our common stock equivalents receive a 33 1/3% Company matching contribution, also credited in BellRing common stock equivalents. Balances are paid upon leaving the Board of Directors, generally in cash, in one of three ways at the election of each director: (1) lump sum payout; (2) five-year installments or (3) ten-year installments.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or Post receive no additional compensation for serving as directors.</w:t>
      </w:r>
    </w:p>
    <w:p>
      <w:pPr>
        <w:spacing w:after="0" w:line="331"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Other Compensation Policies - Stock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Guidelines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Compensation Discussion </w:t>
      </w:r>
      <w:r>
        <w:rPr>
          <w:rFonts w:ascii="Times New Roman" w:cs="Times New Roman" w:eastAsia="Times New Roman" w:hAnsi="Times New Roman"/>
          <w:sz w:val="18"/>
          <w:szCs w:val="18"/>
          <w:color w:val="auto"/>
        </w:rPr>
        <w:t>for more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non-management directors for fiscal year 2024, other than reimbursement for travel expenses.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Earned</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940" w:type="dxa"/>
            <w:vAlign w:val="bottom"/>
            <w:gridSpan w:val="2"/>
            <w:vMerge w:val="continue"/>
          </w:tcPr>
          <w:p>
            <w:pPr>
              <w:spacing w:after="0"/>
              <w:rPr>
                <w:sz w:val="7"/>
                <w:szCs w:val="7"/>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gridSpan w:val="2"/>
            <w:vMerge w:val="continue"/>
          </w:tcPr>
          <w:p>
            <w:pPr>
              <w:spacing w:after="0"/>
              <w:rPr>
                <w:sz w:val="5"/>
                <w:szCs w:val="5"/>
                <w:color w:val="auto"/>
              </w:rPr>
            </w:pPr>
          </w:p>
        </w:tc>
        <w:tc>
          <w:tcPr>
            <w:tcW w:w="1180" w:type="dxa"/>
            <w:vAlign w:val="bottom"/>
            <w:gridSpan w:val="2"/>
            <w:vMerge w:val="restart"/>
          </w:tcPr>
          <w:p>
            <w:pPr>
              <w:jc w:val="center"/>
              <w:ind w:right="260"/>
              <w:spacing w:after="0" w:line="176" w:lineRule="exact"/>
              <w:rPr>
                <w:sz w:val="20"/>
                <w:szCs w:val="20"/>
                <w:color w:val="auto"/>
              </w:rPr>
            </w:pPr>
            <w:r>
              <w:rPr>
                <w:rFonts w:ascii="Times New Roman" w:cs="Times New Roman" w:eastAsia="Times New Roman" w:hAnsi="Times New Roman"/>
                <w:sz w:val="14"/>
                <w:szCs w:val="14"/>
                <w:b w:val="1"/>
                <w:bCs w:val="1"/>
                <w:color w:val="auto"/>
                <w:w w:val="97"/>
              </w:rPr>
              <w:t>Earnings</w:t>
            </w:r>
            <w:r>
              <w:rPr>
                <w:rFonts w:ascii="Times New Roman" w:cs="Times New Roman" w:eastAsia="Times New Roman" w:hAnsi="Times New Roman"/>
                <w:sz w:val="20"/>
                <w:szCs w:val="20"/>
                <w:b w:val="1"/>
                <w:bCs w:val="1"/>
                <w:color w:val="auto"/>
                <w:w w:val="97"/>
                <w:vertAlign w:val="superscript"/>
              </w:rPr>
              <w:t>(3)</w:t>
            </w:r>
          </w:p>
        </w:tc>
        <w:tc>
          <w:tcPr>
            <w:tcW w:w="1320" w:type="dxa"/>
            <w:vAlign w:val="bottom"/>
            <w:gridSpan w:val="2"/>
            <w:vMerge w:val="restart"/>
          </w:tcPr>
          <w:p>
            <w:pPr>
              <w:jc w:val="center"/>
              <w:ind w:right="260"/>
              <w:spacing w:after="0" w:line="176"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20"/>
                <w:szCs w:val="20"/>
                <w:b w:val="1"/>
                <w:bCs w:val="1"/>
                <w:color w:val="auto"/>
                <w:vertAlign w:val="superscript"/>
              </w:rPr>
              <w:t>(4)</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940" w:type="dxa"/>
            <w:vAlign w:val="bottom"/>
            <w:gridSpan w:val="2"/>
            <w:vMerge w:val="continue"/>
          </w:tcPr>
          <w:p>
            <w:pPr>
              <w:spacing w:after="0"/>
              <w:rPr>
                <w:sz w:val="10"/>
                <w:szCs w:val="10"/>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7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374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60" w:type="dxa"/>
            <w:vAlign w:val="bottom"/>
            <w:vMerge w:val="restart"/>
          </w:tcPr>
          <w:p>
            <w:pPr>
              <w:ind w:left="120"/>
              <w:spacing w:after="0" w:line="204"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0"/>
                <w:szCs w:val="10"/>
                <w:b w:val="1"/>
                <w:bCs w:val="1"/>
                <w:color w:val="auto"/>
              </w:rPr>
              <w:t>(1)(2)</w:t>
            </w:r>
          </w:p>
        </w:tc>
        <w:tc>
          <w:tcPr>
            <w:tcW w:w="2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236,608</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97,500</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305,039</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32,497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560,001</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77,500</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249,073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25,831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477,369</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95,108</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326,737</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115,000</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14,439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262,549</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24"/>
        <w:spacing w:after="0" w:line="253"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 date fair value of 2,261 RSUs granted on January 31, 2024 to each of Ms. Kuperman Johnson, Ms. Nwamu and Messrs. Conway, Erickson and Stein. The grant date fair values are computed in accordance with FASB ASC Topic 718, and do not correspond to the actual values that will be realized by the non-management directors. See Note 15 to the Company’s fiscal year 2024 financial statements in the Company’s Annual Report on Form 10-K for a discussion of the determination of these amounts under FASB ASC Topic 718. The awards granted on January 31, 2024 to each of Ms. Kuperman Johnson, Ms. Nwamu and Messrs. Conway, Erickson and Stein fully vest on the first anniversary of the date of grant. The common stock issued pursuant to all such awards must be held until the director has met the ownership requirements under our Stock Ownership Guidelines; however, shares are permitted to be sold to the extent necessary to satisfy any tax obligations relating to the vesting and delivery of such shares. In addition, all awards fully vest at the director’s disability or death.</w:t>
      </w:r>
    </w:p>
    <w:p>
      <w:pPr>
        <w:ind w:left="540" w:right="22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unvested RSUs held by each non-management director as of September 30, 2024 was: Mr. Conway and Ms. Kuperman Johnson, 2,261 RSUs; Mr. Stein, 2,697 RSUs; and Mr. Erickson and Ms. Nwamu, 2,635 RSUs.</w:t>
      </w:r>
    </w:p>
    <w:p>
      <w:pPr>
        <w:ind w:left="540" w:right="2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earnings on the respective non-management director’s account under our Deferred Compensation Plan for Directors for all non-management directors who elected to participate in the plan.</w:t>
      </w:r>
    </w:p>
    <w:p>
      <w:pPr>
        <w:ind w:left="560" w:right="2820" w:hanging="444"/>
        <w:spacing w:after="0" w:line="290" w:lineRule="auto"/>
        <w:tabs>
          <w:tab w:leader="none" w:pos="5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represent the 33 1/3% match on deferrals into common stock equivalents under the Deferred Compensation Plan for Directors for all non-management directors who elected to participate in the plan.</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Item 402(u) of Regulation S-K, the Company is required to disclose the ratio of the annual total compensation of our Chief Executive Officer to the annual total compensation of the median employee of the Company for fiscal year 2024. The annual total compensation of our median employee was $121,841. The annual total compensation of our Chief Executive Officer was $9,901,653. The ratio of our Chief Executive Officer’s annual total compensation to the median employee’s annual total compensation was 81 to 1.</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annual total compensation of our median employee and our Chief Executive Officer as set forth in the paragraph above includes the value of employer-provided health and welfare benefits in the amount of $5,998 and $17,583, respectively, that are not included in the Chief Executive Officer’s total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used the following methodology and material assumptions to identify our median employee in fiscal year 2024:</w:t>
      </w:r>
    </w:p>
    <w:p>
      <w:pPr>
        <w:spacing w:after="0" w:line="131" w:lineRule="exact"/>
        <w:rPr>
          <w:sz w:val="20"/>
          <w:szCs w:val="20"/>
          <w:color w:val="auto"/>
        </w:rPr>
      </w:pPr>
    </w:p>
    <w:p>
      <w:pPr>
        <w:ind w:left="1080" w:right="88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employee was identified using employee information as of July 1, 2024, excluding our Chief Executive Officer, of approximately 468 employees.</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base pay as the consistently applied compensation measure to identify our new median employee. From our employee population, we collected additional compensation data for a group of employees who were paid within a relatively narrow range around our estimated median’s consistently applied compensation measure. From this group, we selected an employee who was reasonably representative of our workforce to be our new median employee.</w:t>
      </w:r>
    </w:p>
    <w:p>
      <w:pPr>
        <w:spacing w:after="0" w:line="180"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ratio presented above is a reasonable estimate calculated in a manner consistent with SEC rules and regulations, based upon the Company’s payroll and employment records and the methodology described above. The ratio may not be comparable to those reported by other companies due to differences in industry, business models, scope of international operations and scale, as well as the different estimates, assumptions and methodologies applied by other companies in calculating their ratios.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SECURITY OWNERSHIP OF CERTAIN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table below indicates the persons or entities known to us to be the beneficial holders of more than 5% of our common stock, each par value $0.01 per share, as of November 14, 2024.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pacing w:after="0" w:line="14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8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of Class</w:t>
            </w:r>
          </w:p>
        </w:tc>
        <w:tc>
          <w:tcPr>
            <w:tcW w:w="68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Percentage</w:t>
            </w:r>
            <w:r>
              <w:rPr>
                <w:rFonts w:ascii="Times New Roman" w:cs="Times New Roman" w:eastAsia="Times New Roman" w:hAnsi="Times New Roman"/>
                <w:sz w:val="21"/>
                <w:szCs w:val="21"/>
                <w:b w:val="1"/>
                <w:bCs w:val="1"/>
                <w:color w:val="auto"/>
                <w:w w:val="94"/>
                <w:vertAlign w:val="superscript"/>
              </w:rPr>
              <w:t>(4)</w:t>
            </w:r>
          </w:p>
        </w:tc>
      </w:tr>
      <w:tr>
        <w:trPr>
          <w:trHeight w:val="27"/>
        </w:trPr>
        <w:tc>
          <w:tcPr>
            <w:tcW w:w="4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5"/>
        </w:trPr>
        <w:tc>
          <w:tcPr>
            <w:tcW w:w="48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6"/>
                <w:szCs w:val="26"/>
                <w:color w:val="auto"/>
                <w:vertAlign w:val="superscript"/>
              </w:rPr>
              <w:t>(1)</w:t>
            </w:r>
          </w:p>
        </w:tc>
        <w:tc>
          <w:tcPr>
            <w:tcW w:w="6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11,483,571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8"/>
        </w:trPr>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52"/>
        </w:trPr>
        <w:tc>
          <w:tcPr>
            <w:tcW w:w="548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Vanguard Group, Inc.</w:t>
            </w:r>
            <w:r>
              <w:rPr>
                <w:rFonts w:ascii="Times New Roman" w:cs="Times New Roman" w:eastAsia="Times New Roman" w:hAnsi="Times New Roman"/>
                <w:sz w:val="26"/>
                <w:szCs w:val="26"/>
                <w:color w:val="auto"/>
                <w:vertAlign w:val="superscript"/>
              </w:rPr>
              <w:t>(2)</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13,302,901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2600 V26</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Valley Forge, Pennsylvania 19482</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81"/>
        </w:trPr>
        <w:tc>
          <w:tcPr>
            <w:tcW w:w="4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r>
      <w:tr>
        <w:trPr>
          <w:trHeight w:val="225"/>
        </w:trPr>
        <w:tc>
          <w:tcPr>
            <w:tcW w:w="548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Wasatch Advisors LP</w:t>
            </w:r>
            <w:r>
              <w:rPr>
                <w:rFonts w:ascii="Times New Roman" w:cs="Times New Roman" w:eastAsia="Times New Roman" w:hAnsi="Times New Roman"/>
                <w:sz w:val="26"/>
                <w:szCs w:val="26"/>
                <w:color w:val="auto"/>
                <w:vertAlign w:val="superscript"/>
              </w:rPr>
              <w:t>(3)</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6,701,299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505 Wakara Way</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4"/>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Salt Lake City, Utah 84108</w:t>
            </w:r>
          </w:p>
        </w:tc>
        <w:tc>
          <w:tcPr>
            <w:tcW w:w="1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54"/>
        </w:trPr>
        <w:tc>
          <w:tcPr>
            <w:tcW w:w="48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80" w:hanging="424"/>
        <w:spacing w:after="0" w:line="257"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2024, based on a Schedule 13G/A dated November 8, 2024, filed by BlackRock, Inc. According to the Schedule 13G/A, BlackRock, Inc. exercises sole investment power with respect to all shares and has sole voting power with respect to 11,167,253 shares and no voting power with respect to 316,318.</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2024, based on a Form 13F-HR dated November 13, 2024, filed by Vanguard Group, Inc. According to the Form 13F-HR, Vanguard Group, Inc. exercises sole investment power with respect to 13,109,347 shares, shared-defined investment power with respect to 193,554 shares, shared voting power with respect to 45,366 shares and no voting power with respect to 13,257,535 shares.</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2024, based on a Schedule 13G dated November 13, 2024, filed by Wasatch Advisors LP. According to the Schedule 13G, Wasatch Advisors LP exercises sole investment and voting power with respect to all shares.</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beneficially owned was calculated based upon 128,874,841 shares of common stock issued and outstanding as of November 14, 2024, plus the number of vested RSUs deferred by certain directors until retirement from the BellRing Board of Directors (75,180 shares), plus the number of common shares which could be acquired upon the exercise of vested options, or options that vest within 60 days of that date (258,987 shares), by all directors, director nominees and executive officers.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the shares of our common stock beneficially owned, as of November 14, 2024,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vested and/or exercisable within 60 days. An asterisk in the column listing the percentage of shares outstanding indicates that the person owns less than 1% of the common stock outstanding.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Within</w:t>
            </w:r>
          </w:p>
        </w:tc>
        <w:tc>
          <w:tcPr>
            <w:tcW w:w="9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vMerge w:val="restart"/>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 of Shares Outstanding</w:t>
            </w:r>
          </w:p>
        </w:tc>
        <w:tc>
          <w:tcPr>
            <w:tcW w:w="800" w:type="dxa"/>
            <w:vAlign w:val="bottom"/>
            <w:gridSpan w:val="2"/>
            <w:vMerge w:val="continue"/>
          </w:tcPr>
          <w:p>
            <w:pPr>
              <w:spacing w:after="0"/>
              <w:rPr>
                <w:sz w:val="10"/>
                <w:szCs w:val="10"/>
                <w:color w:val="auto"/>
              </w:rPr>
            </w:pPr>
          </w:p>
        </w:tc>
        <w:tc>
          <w:tcPr>
            <w:tcW w:w="840" w:type="dxa"/>
            <w:vAlign w:val="bottom"/>
            <w:gridSpan w:val="2"/>
            <w:vMerge w:val="restart"/>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43"/>
        </w:trPr>
        <w:tc>
          <w:tcPr>
            <w:tcW w:w="33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960" w:type="dxa"/>
            <w:vAlign w:val="bottom"/>
            <w:gridSpan w:val="2"/>
            <w:vMerge w:val="restart"/>
          </w:tcPr>
          <w:p>
            <w:pPr>
              <w:jc w:val="right"/>
              <w:ind w:right="280"/>
              <w:spacing w:after="0" w:line="205" w:lineRule="exact"/>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21"/>
                <w:szCs w:val="21"/>
                <w:b w:val="1"/>
                <w:bCs w:val="1"/>
                <w:color w:val="auto"/>
                <w:vertAlign w:val="superscript"/>
              </w:rPr>
              <w:t>(1)</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40" w:type="dxa"/>
            <w:vAlign w:val="bottom"/>
            <w:gridSpan w:val="2"/>
            <w:vMerge w:val="continue"/>
          </w:tcPr>
          <w:p>
            <w:pPr>
              <w:spacing w:after="0"/>
              <w:rPr>
                <w:sz w:val="3"/>
                <w:szCs w:val="3"/>
                <w:color w:val="auto"/>
              </w:rPr>
            </w:pPr>
          </w:p>
        </w:tc>
        <w:tc>
          <w:tcPr>
            <w:tcW w:w="800" w:type="dxa"/>
            <w:vAlign w:val="bottom"/>
            <w:gridSpan w:val="2"/>
            <w:vMerge w:val="restart"/>
          </w:tcPr>
          <w:p>
            <w:pPr>
              <w:jc w:val="right"/>
              <w:ind w:right="300"/>
              <w:spacing w:after="0" w:line="205" w:lineRule="exact"/>
              <w:rPr>
                <w:sz w:val="20"/>
                <w:szCs w:val="20"/>
                <w:color w:val="auto"/>
              </w:rPr>
            </w:pPr>
            <w:r>
              <w:rPr>
                <w:rFonts w:ascii="Times New Roman" w:cs="Times New Roman" w:eastAsia="Times New Roman" w:hAnsi="Times New Roman"/>
                <w:sz w:val="14"/>
                <w:szCs w:val="14"/>
                <w:b w:val="1"/>
                <w:bCs w:val="1"/>
                <w:color w:val="auto"/>
                <w:w w:val="96"/>
              </w:rPr>
              <w:t>Items</w:t>
            </w:r>
            <w:r>
              <w:rPr>
                <w:rFonts w:ascii="Times New Roman" w:cs="Times New Roman" w:eastAsia="Times New Roman" w:hAnsi="Times New Roman"/>
                <w:sz w:val="21"/>
                <w:szCs w:val="21"/>
                <w:b w:val="1"/>
                <w:bCs w:val="1"/>
                <w:color w:val="auto"/>
                <w:w w:val="96"/>
                <w:vertAlign w:val="superscript"/>
              </w:rPr>
              <w:t>(4)</w:t>
            </w: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3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 (3)</w:t>
            </w:r>
          </w:p>
        </w:tc>
        <w:tc>
          <w:tcPr>
            <w:tcW w:w="4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7"/>
        </w:trPr>
        <w:tc>
          <w:tcPr>
            <w:tcW w:w="3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80"/>
              <w:spacing w:after="0" w:line="283" w:lineRule="exact"/>
              <w:rPr>
                <w:sz w:val="20"/>
                <w:szCs w:val="20"/>
                <w:color w:val="auto"/>
              </w:rPr>
            </w:pPr>
            <w:r>
              <w:rPr>
                <w:rFonts w:ascii="Times New Roman" w:cs="Times New Roman" w:eastAsia="Times New Roman" w:hAnsi="Times New Roman"/>
                <w:sz w:val="18"/>
                <w:szCs w:val="18"/>
                <w:color w:val="auto"/>
              </w:rPr>
              <w:t>688,915</w:t>
            </w:r>
            <w:r>
              <w:rPr>
                <w:rFonts w:ascii="Times New Roman" w:cs="Times New Roman" w:eastAsia="Times New Roman" w:hAnsi="Times New Roman"/>
                <w:sz w:val="26"/>
                <w:szCs w:val="26"/>
                <w:color w:val="auto"/>
                <w:vertAlign w:val="superscript"/>
              </w:rPr>
              <w:t>(5)</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688,915</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688,915</w:t>
            </w: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151,917</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204,577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356,494</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356,494</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3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20,569</w:t>
            </w:r>
            <w:r>
              <w:rPr>
                <w:rFonts w:ascii="Times New Roman" w:cs="Times New Roman" w:eastAsia="Times New Roman" w:hAnsi="Times New Roman"/>
                <w:sz w:val="26"/>
                <w:szCs w:val="26"/>
                <w:color w:val="auto"/>
                <w:vertAlign w:val="superscript"/>
              </w:rPr>
              <w:t>(6)</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20,569</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17,581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38,150</w:t>
            </w:r>
          </w:p>
        </w:tc>
        <w:tc>
          <w:tcPr>
            <w:tcW w:w="0" w:type="dxa"/>
            <w:vAlign w:val="bottom"/>
          </w:tcPr>
          <w:p>
            <w:pPr>
              <w:spacing w:after="0"/>
              <w:rPr>
                <w:sz w:val="1"/>
                <w:szCs w:val="1"/>
                <w:color w:val="auto"/>
              </w:rPr>
            </w:pPr>
          </w:p>
        </w:tc>
      </w:tr>
      <w:tr>
        <w:trPr>
          <w:trHeight w:val="28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220" w:type="dxa"/>
            <w:vAlign w:val="bottom"/>
            <w:gridSpan w:val="2"/>
            <w:shd w:val="clear" w:color="auto" w:fill="CCEEFF"/>
          </w:tcPr>
          <w:p>
            <w:pPr>
              <w:jc w:val="right"/>
              <w:ind w:right="280"/>
              <w:spacing w:after="0" w:line="283" w:lineRule="exact"/>
              <w:rPr>
                <w:sz w:val="20"/>
                <w:szCs w:val="20"/>
                <w:color w:val="auto"/>
              </w:rPr>
            </w:pPr>
            <w:r>
              <w:rPr>
                <w:rFonts w:ascii="Times New Roman" w:cs="Times New Roman" w:eastAsia="Times New Roman" w:hAnsi="Times New Roman"/>
                <w:sz w:val="18"/>
                <w:szCs w:val="18"/>
                <w:color w:val="auto"/>
              </w:rPr>
              <w:t>20,242</w:t>
            </w:r>
            <w:r>
              <w:rPr>
                <w:rFonts w:ascii="Times New Roman" w:cs="Times New Roman" w:eastAsia="Times New Roman" w:hAnsi="Times New Roman"/>
                <w:sz w:val="26"/>
                <w:szCs w:val="26"/>
                <w:color w:val="auto"/>
                <w:vertAlign w:val="superscript"/>
              </w:rPr>
              <w:t>(6)</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20,242</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14,313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34,555</w:t>
            </w:r>
          </w:p>
        </w:tc>
        <w:tc>
          <w:tcPr>
            <w:tcW w:w="0" w:type="dxa"/>
            <w:vAlign w:val="bottom"/>
          </w:tcPr>
          <w:p>
            <w:pPr>
              <w:spacing w:after="0"/>
              <w:rPr>
                <w:sz w:val="1"/>
                <w:szCs w:val="1"/>
                <w:color w:val="auto"/>
              </w:rPr>
            </w:pPr>
          </w:p>
        </w:tc>
      </w:tr>
      <w:tr>
        <w:trPr>
          <w:trHeight w:val="3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13,729</w:t>
            </w:r>
            <w:r>
              <w:rPr>
                <w:rFonts w:ascii="Times New Roman" w:cs="Times New Roman" w:eastAsia="Times New Roman" w:hAnsi="Times New Roman"/>
                <w:sz w:val="26"/>
                <w:szCs w:val="26"/>
                <w:color w:val="auto"/>
                <w:vertAlign w:val="superscript"/>
              </w:rPr>
              <w:t>(6)</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13,729</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20,192</w:t>
            </w:r>
          </w:p>
        </w:tc>
        <w:tc>
          <w:tcPr>
            <w:tcW w:w="0" w:type="dxa"/>
            <w:vAlign w:val="bottom"/>
          </w:tcPr>
          <w:p>
            <w:pPr>
              <w:spacing w:after="0"/>
              <w:rPr>
                <w:sz w:val="1"/>
                <w:szCs w:val="1"/>
                <w:color w:val="auto"/>
              </w:rPr>
            </w:pPr>
          </w:p>
        </w:tc>
      </w:tr>
      <w:tr>
        <w:trPr>
          <w:trHeight w:val="28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220" w:type="dxa"/>
            <w:vAlign w:val="bottom"/>
            <w:gridSpan w:val="2"/>
            <w:shd w:val="clear" w:color="auto" w:fill="CCEEFF"/>
          </w:tcPr>
          <w:p>
            <w:pPr>
              <w:jc w:val="right"/>
              <w:ind w:right="280"/>
              <w:spacing w:after="0" w:line="283" w:lineRule="exact"/>
              <w:rPr>
                <w:sz w:val="20"/>
                <w:szCs w:val="20"/>
                <w:color w:val="auto"/>
              </w:rPr>
            </w:pPr>
            <w:r>
              <w:rPr>
                <w:rFonts w:ascii="Times New Roman" w:cs="Times New Roman" w:eastAsia="Times New Roman" w:hAnsi="Times New Roman"/>
                <w:sz w:val="18"/>
                <w:szCs w:val="18"/>
                <w:color w:val="auto"/>
              </w:rPr>
              <w:t>23,640</w:t>
            </w:r>
            <w:r>
              <w:rPr>
                <w:rFonts w:ascii="Times New Roman" w:cs="Times New Roman" w:eastAsia="Times New Roman" w:hAnsi="Times New Roman"/>
                <w:sz w:val="26"/>
                <w:szCs w:val="26"/>
                <w:color w:val="auto"/>
                <w:vertAlign w:val="superscript"/>
              </w:rPr>
              <w:t>(7)</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23,640</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24,861</w:t>
            </w: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56,668</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38,650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95,318</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95,318</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48,259</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48,259</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48,259</w:t>
            </w: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62,985</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15,760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78,745</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78,745</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34,236</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34,236</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34,236</w:t>
            </w:r>
          </w:p>
        </w:tc>
        <w:tc>
          <w:tcPr>
            <w:tcW w:w="0" w:type="dxa"/>
            <w:vAlign w:val="bottom"/>
          </w:tcPr>
          <w:p>
            <w:pPr>
              <w:spacing w:after="0"/>
              <w:rPr>
                <w:sz w:val="1"/>
                <w:szCs w:val="1"/>
                <w:color w:val="auto"/>
              </w:rPr>
            </w:pPr>
          </w:p>
        </w:tc>
      </w:tr>
      <w:tr>
        <w:trPr>
          <w:trHeight w:val="22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 people)</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1,121,160</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258,987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1,380,147</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41,417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200" w:hanging="424"/>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which could be acquired upon the exercise of vested options, or options that vest within 60 days of November 14, 2024, by all directors, director nominees and executive officers.</w:t>
      </w:r>
    </w:p>
    <w:p>
      <w:pPr>
        <w:ind w:left="540" w:right="2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each individual was the number of shares outstanding as of November 14, 2024 (128,874,841 shares), plus the number of RSUs that vest within 60 days of that date for such individual, plus the number of shares which could be acquired upon the exercise of vested options, or options that vest within 60 days of that date, by such individual.</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all directors, director nominees and executive officers as a group was the number of shares outstanding as of November 14, 2024 (128,874,841 shares), plus the number of RSUs that vest within 60 days of that date (0 shares), plus the number of vested RSUs deferred by certain directors until retirement from the Board of Directors (75,180 RSUs), plus the number of shares which could be acquired upon the exercise of vested options, or options that vest within 60 days of that date (258,987 shares), by all directors, director nominees and executive officers.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interests in shares of our common stock held under our Deferred Compensation Plan for Directors. Although indirect interests in shares of our common stock under deferred compensation plans may not be voted or transferred, they have been included in the table above as they represent an economic interest in our common stock that is subject to the same market risk as ownership of actual shares of our common stock.</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390,411 shares held in trusts for the benefit of Mr. Vitale, 166,021 shares held in a trust for the benefit of Mr. Vitale and his children and 132,483 shares held in a trust for the benefit of his family.</w:t>
      </w: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vested RSUs that the director has elected to defer until retirement from the Board of Directors.</w:t>
      </w:r>
    </w:p>
    <w:p>
      <w:pPr>
        <w:spacing w:after="0" w:line="9" w:lineRule="exact"/>
        <w:rPr>
          <w:rFonts w:ascii="Times New Roman" w:cs="Times New Roman" w:eastAsia="Times New Roman" w:hAnsi="Times New Roman"/>
          <w:sz w:val="18"/>
          <w:szCs w:val="18"/>
          <w:color w:val="auto"/>
        </w:rPr>
      </w:pPr>
    </w:p>
    <w:p>
      <w:pPr>
        <w:ind w:left="560" w:right="3360" w:hanging="444"/>
        <w:spacing w:after="0" w:line="260" w:lineRule="auto"/>
        <w:tabs>
          <w:tab w:leader="none" w:pos="5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20,640 vested RSUs that the director has elected to defer until retirement from the Board of Directors.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Section 16 officers and directors are required under the Exchange Act to file reports of ownership and changes in ownership of our common stock with the SEC and the NYSE. Copies of those reports also must be furnished to us. Based on our review of these filings, there were no delinquent filings under Section 16 in the most recent fiscal year.</w:t>
      </w:r>
    </w:p>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September 30, 2024, relating to equity compensation plans of the Company (including individual compensation arrangements) pursuant to which equity securities of the Company are authorized for issuance.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w:t>
            </w:r>
          </w:p>
        </w:tc>
        <w:tc>
          <w:tcPr>
            <w:tcW w:w="640" w:type="dxa"/>
            <w:vAlign w:val="bottom"/>
          </w:tcPr>
          <w:p>
            <w:pPr>
              <w:spacing w:after="0"/>
              <w:rPr>
                <w:sz w:val="2"/>
                <w:szCs w:val="2"/>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line="20" w:lineRule="exact"/>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60" w:type="dxa"/>
            <w:vAlign w:val="bottom"/>
            <w:gridSpan w:val="3"/>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3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6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24"/>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2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0"/>
                <w:szCs w:val="10"/>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gridSpan w:val="2"/>
            <w:vMerge w:val="restart"/>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spacing w:after="0"/>
              <w:rPr>
                <w:sz w:val="4"/>
                <w:szCs w:val="4"/>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20" w:type="dxa"/>
            <w:vAlign w:val="bottom"/>
            <w:gridSpan w:val="2"/>
            <w:vMerge w:val="restart"/>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6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60"/>
              <w:spacing w:after="0" w:line="205" w:lineRule="exact"/>
              <w:rPr>
                <w:sz w:val="20"/>
                <w:szCs w:val="20"/>
                <w:color w:val="auto"/>
              </w:rPr>
            </w:pPr>
            <w:r>
              <w:rPr>
                <w:rFonts w:ascii="Times New Roman" w:cs="Times New Roman" w:eastAsia="Times New Roman" w:hAnsi="Times New Roman"/>
                <w:sz w:val="14"/>
                <w:szCs w:val="14"/>
                <w:b w:val="1"/>
                <w:bCs w:val="1"/>
                <w:color w:val="auto"/>
                <w:w w:val="98"/>
              </w:rPr>
              <w:t>and Rights</w:t>
            </w:r>
            <w:r>
              <w:rPr>
                <w:rFonts w:ascii="Times New Roman" w:cs="Times New Roman" w:eastAsia="Times New Roman" w:hAnsi="Times New Roman"/>
                <w:sz w:val="21"/>
                <w:szCs w:val="21"/>
                <w:b w:val="1"/>
                <w:bCs w:val="1"/>
                <w:color w:val="auto"/>
                <w:w w:val="98"/>
                <w:vertAlign w:val="superscript"/>
              </w:rPr>
              <w:t>(1)</w:t>
            </w:r>
          </w:p>
        </w:tc>
        <w:tc>
          <w:tcPr>
            <w:tcW w:w="640" w:type="dxa"/>
            <w:vAlign w:val="bottom"/>
          </w:tcPr>
          <w:p>
            <w:pPr>
              <w:spacing w:after="0"/>
              <w:rPr>
                <w:sz w:val="2"/>
                <w:szCs w:val="2"/>
                <w:color w:val="auto"/>
              </w:rPr>
            </w:pPr>
          </w:p>
        </w:tc>
        <w:tc>
          <w:tcPr>
            <w:tcW w:w="1300" w:type="dxa"/>
            <w:vAlign w:val="bottom"/>
            <w:vMerge w:val="restart"/>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9"/>
              </w:rPr>
              <w:t>in column(a))</w:t>
            </w:r>
            <w:r>
              <w:rPr>
                <w:rFonts w:ascii="Times New Roman" w:cs="Times New Roman" w:eastAsia="Times New Roman" w:hAnsi="Times New Roman"/>
                <w:sz w:val="21"/>
                <w:szCs w:val="21"/>
                <w:b w:val="1"/>
                <w:bCs w:val="1"/>
                <w:color w:val="auto"/>
                <w:w w:val="99"/>
                <w:vertAlign w:val="superscript"/>
              </w:rPr>
              <w:t>(2)</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000" w:type="dxa"/>
            <w:vAlign w:val="bottom"/>
            <w:gridSpan w:val="3"/>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2,743,968</w:t>
            </w:r>
            <w:r>
              <w:rPr>
                <w:rFonts w:ascii="Times New Roman" w:cs="Times New Roman" w:eastAsia="Times New Roman" w:hAnsi="Times New Roman"/>
                <w:sz w:val="26"/>
                <w:szCs w:val="26"/>
                <w:color w:val="auto"/>
                <w:vertAlign w:val="superscript"/>
              </w:rPr>
              <w:t>(3)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80" w:type="dxa"/>
            <w:vAlign w:val="bottom"/>
          </w:tcPr>
          <w:p>
            <w:pPr>
              <w:spacing w:after="0"/>
              <w:rPr>
                <w:sz w:val="22"/>
                <w:szCs w:val="22"/>
                <w:color w:val="auto"/>
              </w:rPr>
            </w:pPr>
          </w:p>
        </w:tc>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0" w:type="dxa"/>
            <w:vAlign w:val="bottom"/>
            <w:gridSpan w:val="3"/>
            <w:vMerge w:val="continue"/>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7,263,110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6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580" w:type="dxa"/>
            <w:vAlign w:val="bottom"/>
          </w:tcPr>
          <w:p>
            <w:pPr>
              <w:spacing w:after="0"/>
              <w:rPr>
                <w:sz w:val="20"/>
                <w:szCs w:val="20"/>
                <w:color w:val="auto"/>
              </w:rPr>
            </w:pPr>
          </w:p>
        </w:tc>
        <w:tc>
          <w:tcPr>
            <w:tcW w:w="1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88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2,743,968</w:t>
            </w:r>
          </w:p>
        </w:tc>
        <w:tc>
          <w:tcPr>
            <w:tcW w:w="4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of outstanding options; excludes RSUs and PRSUs.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 stock are available under our 2019 Long-Term Incentive plan.</w:t>
      </w:r>
    </w:p>
    <w:p>
      <w:pPr>
        <w:spacing w:after="0" w:line="9"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the exercise of 258,987 outstanding non-qualified stock options, 433,260 outstanding RSUs that will be settled in shares of our common stock, 2,010,304 outstanding PRSUs that will be settled in shares of our common stock (which amount reflects vesting at the maximum vesting level of 260%, if all of these outstanding PRSUs vest at the target vesting level instead of the maximum vesting level, 773,194 PRSUs would vest instead of 2,010,304) and 41,417 vested units under our deferred compensation plan for directors.</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320" w:top="482" w:right="5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Governing Related Party Transactions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Our related person transactions policy provides that any related person transaction covered by the policy must be reviewed and approved or ratified by our Audit Committee (or an independent and disinterested sub-committee thereof). Our related party transactions policy applies to any transaction that would be required by the SEC to be disclosed in our proxy statement, as well as certain transactions with Post.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not approve or ratify any related person transaction unless, after considering all relevant information, it has determined that the transaction is in, or is not inconsistent with, the best interests of us and our stockholders and complies with applicable law. In considering a related party transaction, the Committee will take into account relevant facts and circumstances, including the following:</w:t>
      </w:r>
    </w:p>
    <w:p>
      <w:pPr>
        <w:spacing w:after="0" w:line="81" w:lineRule="exact"/>
        <w:rPr>
          <w:sz w:val="20"/>
          <w:szCs w:val="20"/>
          <w:color w:val="auto"/>
        </w:rPr>
      </w:pPr>
    </w:p>
    <w:p>
      <w:pPr>
        <w:ind w:left="1080" w:right="2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generally available to an unaffiliated third party under similar circumstances;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materiality of the director’s or officer’s interest in the transaction, including any actual or perceived conflicts of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and the benefit (or lack thereof) of such transaction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director and executive officer compensation arrangements discussed above under </w:t>
      </w:r>
      <w:r>
        <w:rPr>
          <w:rFonts w:ascii="Times New Roman" w:cs="Times New Roman" w:eastAsia="Times New Roman" w:hAnsi="Times New Roman"/>
          <w:sz w:val="18"/>
          <w:szCs w:val="18"/>
          <w:i w:val="1"/>
          <w:iCs w:val="1"/>
          <w:color w:val="auto"/>
        </w:rPr>
        <w:t>Compensation of Officers and Directors</w:t>
      </w:r>
      <w:r>
        <w:rPr>
          <w:rFonts w:ascii="Times New Roman" w:cs="Times New Roman" w:eastAsia="Times New Roman" w:hAnsi="Times New Roman"/>
          <w:sz w:val="18"/>
          <w:szCs w:val="18"/>
          <w:color w:val="auto"/>
        </w:rPr>
        <w:t>, the following is a description of each transaction since the beginning of our last fiscal year and each currently proposed transaction in which:</w:t>
      </w:r>
    </w:p>
    <w:p>
      <w:pPr>
        <w:spacing w:after="0" w:line="66"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10, 2022, we and Post completed a series of transactions resulting in the spin-off of approximately 80.1% of Post’s ownership interests in us to its stockholders and our reorganization, as more fully disclosed in our Current Report on Form 8-K as filed with the SEC on March 10, 2022 (the “Reorganization Transactions”). In connection with the Reorganization Transactions, on March 10, 2022, we and Post and certain of our predecessor affiliates agreed to amend and restate the below-described employee matters agreement and master services agreement and entered into a new tax matters agreement and registration rights agreement. As of November 25, 2022, Post no longer owns any outstanding shares of our common stock. Transactions with Post continue to be considered related party transactions as certain of the Company’s directors serve as officers or directors of Post.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Employee Matters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amended and restated employee matters agreement covers a wide range of compensation and benefit matters, including: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issued to employees of us or our subsidiaries (or our or their predecessors) under certain Post equity incentive plans, which remain unsettled or outstanding as of March 10, 2022, will either: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82"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40" w:firstLine="1"/>
        <w:spacing w:after="0" w:line="272" w:lineRule="auto"/>
        <w:tabs>
          <w:tab w:leader="none" w:pos="131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at the time that Post and we are no longer affiliated, or (ii) vest or be forfeited, in each case, based on their original terms. With respect to nonqualified stock option awards held by Ms. Davenport under certain Post equity incentive plans, such non-qualified stock option awards may be amended to extend their exercise period to 10 years from the date of grant of such options. We will reimburse Post for the accounting cost related to the monthly expense and any accounting charges or costs resultant from any accounting modification of an equity award including, but not limited to, any extension of any exercise period or any acceleration or change in vesting provision. In addition, we will reimburse Post for the employer-related payroll expense, and any other financial obligations relating to any such outstanding awards while outstanding. Any RSUs denominated in Post common stock and options to purchase Post common stock will be adjusted in a manner and at a time consistent with other equity awards issued by Post under its equity incentive plans.</w:t>
      </w:r>
    </w:p>
    <w:p>
      <w:pPr>
        <w:spacing w:after="0" w:line="77" w:lineRule="exact"/>
        <w:rPr>
          <w:rFonts w:ascii="Times New Roman" w:cs="Times New Roman" w:eastAsia="Times New Roman" w:hAnsi="Times New Roman"/>
          <w:sz w:val="17"/>
          <w:szCs w:val="17"/>
          <w:color w:val="auto"/>
        </w:rPr>
      </w:pPr>
    </w:p>
    <w:p>
      <w:pPr>
        <w:ind w:left="1080" w:right="6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and will cause our respective subsidiaries to, take such commercially reasonable actions with regard to benefit and payroll carriers and vendors, and contracts regarding the same, as may be reasonably necessary or appropriate in order to transition relevant contracts, to fulfill their respective obligations under the amended and restated master services agreement and to ensure continuity of employee benefits for employees of us or our subsidiaries.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Benefits Trustees Committee will determine the future treatment of the Post common stock fund held in our 401(k) Plan.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work in good faith to administer the notional accounts held by certain employees of us or our subsidiaries under the Post Holdings, Inc. Deferred Compensation Plan for Key Employees and the Post Holdings, Inc. Executive Savings Investment Plan (collectively, the “Post nonqualified plans”) for so long as such notional accounts remain under the Post nonqualified plans.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amended and restated employee matters agreement, we will, or will cause our subsidiaries to, assume or retain,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former employees of us and their dependents and beneficiaries.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amended and restated employee matters agreement, we will use commercially reasonable efforts to maintain effective registration statements with the SEC with respect to the 2019 LTIP or any successor plan, and any equity awards issued thereunder.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We and Post may terminate the amended and restated employee matters agreement by mutual consent, and Post may terminate the employee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matters agreement in the event of a change of control of Post, or a change of control of us or the sale of all or substantially all of our consolidated assets.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governs our and Post’s respective rights, responsibilities and obligations with respect to taxes, including taxes arising in the ordinary course of business and taxes, if any, incurred as a result of the failure of the Reorganization Transactions to qualify for their intended tax treatment. The tax matters agreement addresses U.S. federal, state, local and non-U.S. tax matters, and sets forth the respective obligations of the parties with respect to the filing of tax returns, the administration of tax contests and assistance and cooperation on tax matters.</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Under the tax matters agreement, Post is generally responsible for pre-distribution taxes relating to both its retained business and certain of our pre-distribution taxes. We are generally responsible for post-distribution taxes attributable to our nutrition business. In addition, in certain circumstances and subject to certain conditions, each party will be responsible for taxes imposed on Post that arise from the failure of the distribution, the merger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and certain related transactions to qualify as tax-free transactions to the extent such failure to qualify is attributable to certain actions taken by such party (or, in certain circumstances, is attributable to actions taken by other persons)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tax matters agreement, we are expected to indemnify Post for (i) all taxes for which we are responsible, as described above, and</w:t>
      </w:r>
    </w:p>
    <w:p>
      <w:pPr>
        <w:spacing w:after="0" w:line="27" w:lineRule="exact"/>
        <w:rPr>
          <w:sz w:val="20"/>
          <w:szCs w:val="20"/>
          <w:color w:val="auto"/>
        </w:rPr>
      </w:pPr>
    </w:p>
    <w:p>
      <w:pPr>
        <w:ind w:left="120" w:right="320" w:hanging="4"/>
        <w:spacing w:after="0" w:line="290" w:lineRule="auto"/>
        <w:tabs>
          <w:tab w:leader="none" w:pos="38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incurred by reason of certain actions or events, or by reason of any breach by us or any of our subsidiaries of any of our respective representations, warranties or covenants under the tax matters agreement that, in each case, affect the intended tax-free treatment of the transactions.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tax matters agreement, Post is expected to indemnify us for (i) the taxes for which Post is responsible, as described above, and</w:t>
      </w:r>
    </w:p>
    <w:p>
      <w:pPr>
        <w:spacing w:after="0" w:line="27" w:lineRule="exact"/>
        <w:rPr>
          <w:sz w:val="20"/>
          <w:szCs w:val="20"/>
          <w:color w:val="auto"/>
        </w:rPr>
      </w:pPr>
    </w:p>
    <w:p>
      <w:pPr>
        <w:ind w:left="120" w:right="360" w:hanging="4"/>
        <w:spacing w:after="0" w:line="260" w:lineRule="auto"/>
        <w:tabs>
          <w:tab w:leader="none" w:pos="3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a failure of the transactions to qualify as tax free, to the extent incurred by any action or failure to take any action within the control of Post.</w:t>
      </w:r>
    </w:p>
    <w:p>
      <w:pPr>
        <w:spacing w:after="0" w:line="18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tax matters agreement prohibits Post and us from taking actions (or refraining from taking actions) that could reasonably be expected to cause the Reorganization Transactions to fail to qualify for their intended tax treatment. In particular, for two years after March 10, 2022, we in general were not permitted to:</w:t>
      </w:r>
    </w:p>
    <w:p>
      <w:pPr>
        <w:spacing w:after="0" w:line="81" w:lineRule="exact"/>
        <w:rPr>
          <w:sz w:val="20"/>
          <w:szCs w:val="20"/>
          <w:color w:val="auto"/>
        </w:rPr>
      </w:pPr>
    </w:p>
    <w:p>
      <w:pPr>
        <w:jc w:val="both"/>
        <w:ind w:left="1080" w:right="4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equity securities or securities that could be converted into our equity securities, including as acquisition currency for a merger or acquisition (but excluding certain equity compensation for our employees), redeem or repurchase our equity securities or our debt, or enter into any transaction pursuant to which our stock would be acquired, whether by merger or otherwise;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or permit certain of our wholly owned subsidiaries to cease, the active conduct of the nutrition business or from holding certain assets held at the time of the distribution;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liquidate or take any action that is a liquidation for U.S. federal income tax purposes (other than pursuant to the Reorganization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allow an extraordinary contribution to us by our stockholders in exchange for stock, redeem or otherwise repurchase (directly or indirectly) any of our common stock or amend our certificate of incorporation or other organizational documents if such amendment or other action would affect the relative voting rights of our capital stock, or redeem or otherwise repurchase (directly or indirectly) any of the debt obligations issued by us to Post (and subsequently exchanged by Post for Post debt securities) in connection with the Reorganization Transactions; or</w:t>
      </w:r>
    </w:p>
    <w:p>
      <w:pPr>
        <w:spacing w:after="0" w:line="8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30% or more of the gross assets of our nutrition business, other than pursuant to sales or transfers of assets in the ordinary course of business, cash acquisitions of assets from unrelated persons in arm’s-length transactions, transfers to a person that is disregarded as an entity separate from the transferor for U.S. federal income tax purposes, mandatory or optional repayment (or pre-payment) of any indebtedness of us or our subsidiaries or a sale or transfer among us and our subsidiaries.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Nevertheless, we were permitted to take any of the actions described above during the two-year period following the distribution if Post obtained an IRS private letter ruling or, in certain circumstances, our tax counsel delivered an unqualified “will”-level tax opinion in form and substance reasonably satisfactory to Post) to the effect that the action would not affect the tax-free status of the transactions. Notwithstanding the above, under the tax matters agreement, we may make certain stock issuances that meet certain safe harbors provided in Section 1.355-7(d) of the Treasury Regulations so long as such issuances are not inconsistent with any applicable formal or informal written guidance provided by the IRS in connection with any IRS ruling request or any applicable assumptions, representations and warranties, covenants or certificates relied upon in any unqualified “will”-level tax opinion.</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will be binding on and inure to the benefit of any permitted assignees and any successor to any of the parties of the tax matters agreement. The tax matters agreement may be amended only by a written instrument signed by each of the parties, and any right may be waived only in a written instrument signed by the party against whom the waiver is to be effective. No failure or delay by any party to the tax matters agreement to exercise a right operates as a waiver thereof.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Master Services Agreement</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Under the amended and restated master services agreement, as amended on August 4, 2023 to modify the scope and pricing, and extended the term of certain services provided under it, Post provides some combination of the following services, among others, to us:</w:t>
      </w:r>
    </w:p>
    <w:p>
      <w:pPr>
        <w:spacing w:after="0" w:line="67" w:lineRule="exact"/>
        <w:rPr>
          <w:sz w:val="20"/>
          <w:szCs w:val="20"/>
          <w:color w:val="auto"/>
        </w:rPr>
      </w:pPr>
    </w:p>
    <w:p>
      <w:pPr>
        <w:ind w:left="1080" w:right="3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certain finance, internal audit, treasury, information technology support, insurance and tax matters, including assistance with certain public company reporting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office and/or data center space;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services as to which Post and we may agree.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charges for these services were $3.4 million, plus certain third-party costs, in fiscal 2024. In general, the services provided by Post will continue for the periods specified in the amended and restated master services agreement, but not to exceed four years from March 10, 2022, subject to any subsequent extension or truncation agreed to by us and Post. In addition, Post may terminate (i) the amended and restated master services agreement or any services provided thereunder in the event of a change of control of Post, or a change of control of us or the sale of all or substantially all of the consolidated assets of Post or us, (ii) the amended and restated master services agreement or any services provided thereunder upon six months’ notice, or, if Post stops providing a service for its own operations, upon 60 days’ notice, (iii) any services provided to a subsidiary of us in the event of a change of control of the subsidiary or the sale of all or substantially all of its assets and (iv) any services provided to a business line or operating division of us or our subsidiaries in the event of a sale of such business line or operating division. We may terminate the amended and restated master services agreement with respect to one or more particular services being received upon such notice as provided for in the amended and restated master services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of our IPO on October 21, 2019, we entered into a tax receivable agreement with Post. 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our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19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actual increase in tax basis and the amount and timing of any payments under the tax receivable agreement will vary depending upon a number of factors, including:</w:t>
      </w:r>
    </w:p>
    <w:p>
      <w:pPr>
        <w:spacing w:after="0" w:line="67" w:lineRule="exact"/>
        <w:rPr>
          <w:sz w:val="20"/>
          <w:szCs w:val="20"/>
          <w:color w:val="auto"/>
        </w:rPr>
      </w:pPr>
    </w:p>
    <w:p>
      <w:pPr>
        <w:ind w:left="1080" w:right="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common stock in connection with the IPO and at the time of redemptions— the basis adjustments, as well as any related increase in any tax deductions, are directly related to the price of shares of our common stock at the time of the consummation of the IPO and each redemption;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redemptions are taxable—if a redemption is not taxable for any reason, increased tax deductions will not be available;</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tax laws—if future changes in federal tax laws result in changes in the amount and timing of payments (for example, changes to interest expense limitations);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corporate income tax rates.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Co-Packing Agreement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September 30, 2022, Premier Nutrition entered into a Co-Packaging Agreement with Comet Processing, Inc. (“Comet”), a wholly owned subsidiary of Post. Under the Co-Packaging Agreement, Comet Processing will manufacture for Premier Nutrition, and Premier Nutrition will purchase from Comet, certain RTD shakes. Additionally, pursuant to the Co-Packing Agreement, Premier Nutrition will reimburse Comet for certain costs and expenses incurred in the acquisition and development of property for the processing plant. During fiscal 2024, purchases of RTD shakes manufactured by Comet were $8.6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Agreement—Dymatize Enterprises, LLC and Post Consumer Brands, LLC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2024, royalty payments from Dymatize to Post Consumer Brands were $1.3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 – Premier Nutrition Company, LLC and Post Consumer Brands, LLC</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March 1, 2020, Premier Nutrition entered into an Intellectual Property License Agreement with Post Consumer Brands, a wholly owned subsidiary of Post. Under the intellectual property license agreement, which was negotiated by the parties at arm’s length, Premier Nutrition provides Post Consumer Brands a non-exclusive license to use certain intellectual property on or in association with its manufacture, sale and distribution of certain Post Consumer Brands products in exchange for the payment of royalties. In fiscal 2024, royalty payments from Post Consumer Brands to Premier Nutrition were $0.5 million.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actually paid by us to our principal executive officer (“PEO”), Darcy Horn Davenport, and Non-PEO NEOs and Company performance for the fiscal years listed below.</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disclosures included in this section are required by technical SEC rules and do not necessarily align with how the Company or the Compensation Committee views the link between our performance and the compensation of our NEOs. The Compensation Committee did not consider the pay versus performance disclosure below in making its pay decisions for any of the years presented.</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For information regarding the decisions made by our Compensation Committee with respect to the compensation of our NEOs for each fiscal year, including alignment with Company performance, please see the “Compensation Discussion and Analysis” section of the proxy statement for the fiscal years covered.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250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250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50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based</w:t>
            </w:r>
          </w:p>
        </w:tc>
        <w:tc>
          <w:tcPr>
            <w:tcW w:w="90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1-Year</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250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for Darcy</w:t>
            </w:r>
          </w:p>
        </w:tc>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 Darcy</w:t>
            </w: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8"/>
                <w:szCs w:val="8"/>
                <w:b w:val="1"/>
                <w:bCs w:val="1"/>
                <w:color w:val="auto"/>
              </w:rPr>
              <w:t>4</w:t>
            </w:r>
          </w:p>
        </w:tc>
        <w:tc>
          <w:tcPr>
            <w:tcW w:w="580" w:type="dxa"/>
            <w:vAlign w:val="bottom"/>
          </w:tcPr>
          <w:p>
            <w:pPr>
              <w:spacing w:after="0"/>
              <w:rPr>
                <w:sz w:val="15"/>
                <w:szCs w:val="15"/>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Horn</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Horn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vMerge w:val="continue"/>
          </w:tcPr>
          <w:p>
            <w:pPr>
              <w:spacing w:after="0"/>
              <w:rPr>
                <w:sz w:val="2"/>
                <w:szCs w:val="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TSR</w:t>
            </w:r>
          </w:p>
        </w:tc>
        <w:tc>
          <w:tcPr>
            <w:tcW w:w="0" w:type="dxa"/>
            <w:vAlign w:val="bottom"/>
          </w:tcPr>
          <w:p>
            <w:pPr>
              <w:spacing w:after="0"/>
              <w:rPr>
                <w:sz w:val="1"/>
                <w:szCs w:val="1"/>
                <w:color w:val="auto"/>
              </w:rPr>
            </w:pPr>
          </w:p>
        </w:tc>
      </w:tr>
      <w:tr>
        <w:trPr>
          <w:trHeight w:val="50"/>
        </w:trPr>
        <w:tc>
          <w:tcPr>
            <w:tcW w:w="182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vMerge w:val="restart"/>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Peer</w:t>
            </w:r>
          </w:p>
        </w:tc>
        <w:tc>
          <w:tcPr>
            <w:tcW w:w="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500" w:type="dxa"/>
            <w:vAlign w:val="bottom"/>
            <w:vMerge w:val="restart"/>
          </w:tcPr>
          <w:p>
            <w:pPr>
              <w:ind w:left="1480"/>
              <w:spacing w:after="0" w:line="160" w:lineRule="exact"/>
              <w:rPr>
                <w:sz w:val="20"/>
                <w:szCs w:val="20"/>
                <w:color w:val="auto"/>
              </w:rPr>
            </w:pPr>
            <w:r>
              <w:rPr>
                <w:rFonts w:ascii="Times New Roman" w:cs="Times New Roman" w:eastAsia="Times New Roman" w:hAnsi="Times New Roman"/>
                <w:sz w:val="14"/>
                <w:szCs w:val="14"/>
                <w:b w:val="1"/>
                <w:bCs w:val="1"/>
                <w:color w:val="auto"/>
              </w:rPr>
              <w:t>Davenport¹</w:t>
            </w:r>
          </w:p>
        </w:tc>
        <w:tc>
          <w:tcPr>
            <w:tcW w:w="1180" w:type="dxa"/>
            <w:vAlign w:val="bottom"/>
            <w:vMerge w:val="restart"/>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Davenport</w:t>
            </w:r>
            <w:r>
              <w:rPr>
                <w:rFonts w:ascii="Times New Roman" w:cs="Times New Roman" w:eastAsia="Times New Roman" w:hAnsi="Times New Roman"/>
                <w:sz w:val="8"/>
                <w:szCs w:val="8"/>
                <w:b w:val="1"/>
                <w:bCs w:val="1"/>
                <w:color w:val="auto"/>
              </w:rPr>
              <w:t>1,2,3</w:t>
            </w:r>
          </w:p>
        </w:tc>
        <w:tc>
          <w:tcPr>
            <w:tcW w:w="1160" w:type="dxa"/>
            <w:vAlign w:val="bottom"/>
            <w:vMerge w:val="restart"/>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w:t>
            </w:r>
          </w:p>
        </w:tc>
        <w:tc>
          <w:tcPr>
            <w:tcW w:w="1320" w:type="dxa"/>
            <w:vAlign w:val="bottom"/>
            <w:vMerge w:val="restart"/>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w:t>
            </w:r>
            <w:r>
              <w:rPr>
                <w:rFonts w:ascii="Times New Roman" w:cs="Times New Roman" w:eastAsia="Times New Roman" w:hAnsi="Times New Roman"/>
                <w:sz w:val="17"/>
                <w:szCs w:val="17"/>
                <w:b w:val="1"/>
                <w:bCs w:val="1"/>
                <w:color w:val="auto"/>
                <w:vertAlign w:val="superscript"/>
              </w:rPr>
              <w:t>3</w:t>
            </w:r>
          </w:p>
        </w:tc>
        <w:tc>
          <w:tcPr>
            <w:tcW w:w="720" w:type="dxa"/>
            <w:vAlign w:val="bottom"/>
          </w:tcPr>
          <w:p>
            <w:pPr>
              <w:spacing w:after="0"/>
              <w:rPr>
                <w:sz w:val="5"/>
                <w:szCs w:val="5"/>
                <w:color w:val="auto"/>
              </w:rPr>
            </w:pPr>
          </w:p>
        </w:tc>
        <w:tc>
          <w:tcPr>
            <w:tcW w:w="580" w:type="dxa"/>
            <w:vAlign w:val="bottom"/>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Group</w:t>
            </w:r>
          </w:p>
        </w:tc>
        <w:tc>
          <w:tcPr>
            <w:tcW w:w="900" w:type="dxa"/>
            <w:vAlign w:val="bottom"/>
            <w:vMerge w:val="continue"/>
          </w:tcPr>
          <w:p>
            <w:pPr>
              <w:spacing w:after="0"/>
              <w:rPr>
                <w:sz w:val="5"/>
                <w:szCs w:val="5"/>
                <w:color w:val="auto"/>
              </w:rPr>
            </w:pPr>
          </w:p>
        </w:tc>
        <w:tc>
          <w:tcPr>
            <w:tcW w:w="840" w:type="dxa"/>
            <w:vAlign w:val="bottom"/>
            <w:vMerge w:val="restart"/>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92"/>
        </w:trPr>
        <w:tc>
          <w:tcPr>
            <w:tcW w:w="182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9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TSR</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TSR</w:t>
            </w:r>
          </w:p>
        </w:tc>
        <w:tc>
          <w:tcPr>
            <w:tcW w:w="900" w:type="dxa"/>
            <w:vAlign w:val="bottom"/>
            <w:vMerge w:val="continue"/>
          </w:tcPr>
          <w:p>
            <w:pPr>
              <w:spacing w:after="0"/>
              <w:rPr>
                <w:sz w:val="4"/>
                <w:szCs w:val="4"/>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Rank</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46"/>
        </w:trPr>
        <w:tc>
          <w:tcPr>
            <w:tcW w:w="182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bottom w:val="single" w:sz="8" w:color="auto"/>
            </w:tcBorders>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50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9,901,653</w:t>
            </w:r>
          </w:p>
        </w:tc>
        <w:tc>
          <w:tcPr>
            <w:tcW w:w="1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29,639,032</w:t>
            </w:r>
          </w:p>
        </w:tc>
        <w:tc>
          <w:tcPr>
            <w:tcW w:w="1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2,027,491</w:t>
            </w:r>
          </w:p>
        </w:tc>
        <w:tc>
          <w:tcPr>
            <w:tcW w:w="1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8,453,584</w:t>
            </w: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328.23</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126.34</w:t>
            </w:r>
          </w:p>
        </w:tc>
        <w:tc>
          <w:tcPr>
            <w:tcW w:w="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246.5</w:t>
            </w:r>
          </w:p>
        </w:tc>
        <w:tc>
          <w:tcPr>
            <w:tcW w:w="840" w:type="dxa"/>
            <w:vAlign w:val="bottom"/>
            <w:tcBorders>
              <w:bottom w:val="single" w:sz="8" w:color="auto"/>
            </w:tcBorders>
            <w:shd w:val="clear" w:color="auto" w:fill="CCEEFF"/>
          </w:tcPr>
          <w:p>
            <w:pPr>
              <w:ind w:left="140"/>
              <w:spacing w:after="0" w:line="250" w:lineRule="exact"/>
              <w:rPr>
                <w:sz w:val="20"/>
                <w:szCs w:val="20"/>
                <w:color w:val="auto"/>
              </w:rPr>
            </w:pPr>
            <w:r>
              <w:rPr>
                <w:rFonts w:ascii="Times New Roman" w:cs="Times New Roman" w:eastAsia="Times New Roman" w:hAnsi="Times New Roman"/>
                <w:sz w:val="18"/>
                <w:szCs w:val="18"/>
                <w:b w:val="1"/>
                <w:bCs w:val="1"/>
                <w:color w:val="auto"/>
              </w:rPr>
              <w:t>83</w:t>
            </w:r>
            <w:r>
              <w:rPr>
                <w:rFonts w:ascii="Times New Roman" w:cs="Times New Roman" w:eastAsia="Times New Roman" w:hAnsi="Times New Roman"/>
                <w:sz w:val="22"/>
                <w:szCs w:val="22"/>
                <w:b w:val="1"/>
                <w:bCs w:val="1"/>
                <w:color w:val="auto"/>
                <w:vertAlign w:val="superscript"/>
              </w:rPr>
              <w:t>rd</w:t>
            </w:r>
          </w:p>
        </w:tc>
        <w:tc>
          <w:tcPr>
            <w:tcW w:w="0" w:type="dxa"/>
            <w:vAlign w:val="bottom"/>
          </w:tcPr>
          <w:p>
            <w:pPr>
              <w:spacing w:after="0"/>
              <w:rPr>
                <w:sz w:val="1"/>
                <w:szCs w:val="1"/>
                <w:color w:val="auto"/>
              </w:rPr>
            </w:pPr>
          </w:p>
        </w:tc>
      </w:tr>
      <w:tr>
        <w:trPr>
          <w:trHeight w:val="250"/>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4,321,300</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17,994,026</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900,745</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7,132,747</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222.87</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113.96</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165.5</w:t>
            </w: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1"/>
                <w:szCs w:val="11"/>
                <w:b w:val="1"/>
                <w:bCs w:val="1"/>
                <w:color w:val="auto"/>
              </w:rPr>
              <w:t>nd</w:t>
            </w:r>
          </w:p>
        </w:tc>
        <w:tc>
          <w:tcPr>
            <w:tcW w:w="0" w:type="dxa"/>
            <w:vAlign w:val="bottom"/>
          </w:tcPr>
          <w:p>
            <w:pPr>
              <w:spacing w:after="0"/>
              <w:rPr>
                <w:sz w:val="1"/>
                <w:szCs w:val="1"/>
                <w:color w:val="auto"/>
              </w:rPr>
            </w:pPr>
          </w:p>
        </w:tc>
      </w:tr>
      <w:tr>
        <w:trPr>
          <w:trHeight w:val="250"/>
        </w:trPr>
        <w:tc>
          <w:tcPr>
            <w:tcW w:w="1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50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5,046,013</w:t>
            </w:r>
          </w:p>
        </w:tc>
        <w:tc>
          <w:tcPr>
            <w:tcW w:w="1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2,706,699</w:t>
            </w:r>
          </w:p>
        </w:tc>
        <w:tc>
          <w:tcPr>
            <w:tcW w:w="1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3,976,161</w:t>
            </w:r>
          </w:p>
        </w:tc>
        <w:tc>
          <w:tcPr>
            <w:tcW w:w="1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3,006,251</w:t>
            </w: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111.41</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111.29</w:t>
            </w:r>
          </w:p>
        </w:tc>
        <w:tc>
          <w:tcPr>
            <w:tcW w:w="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116.0</w:t>
            </w:r>
          </w:p>
        </w:tc>
        <w:tc>
          <w:tcPr>
            <w:tcW w:w="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1"/>
                <w:szCs w:val="11"/>
                <w:b w:val="1"/>
                <w:bCs w:val="1"/>
                <w:color w:val="auto"/>
              </w:rPr>
              <w:t>th</w:t>
            </w:r>
          </w:p>
        </w:tc>
        <w:tc>
          <w:tcPr>
            <w:tcW w:w="0" w:type="dxa"/>
            <w:vAlign w:val="bottom"/>
          </w:tcPr>
          <w:p>
            <w:pPr>
              <w:spacing w:after="0"/>
              <w:rPr>
                <w:sz w:val="1"/>
                <w:szCs w:val="1"/>
                <w:color w:val="auto"/>
              </w:rPr>
            </w:pPr>
          </w:p>
        </w:tc>
      </w:tr>
      <w:tr>
        <w:trPr>
          <w:trHeight w:val="250"/>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3,565,067</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6,055,248</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816,593</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1,196,210</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148.26</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105.63</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114.4</w:t>
            </w: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97</w:t>
            </w:r>
            <w:r>
              <w:rPr>
                <w:rFonts w:ascii="Times New Roman" w:cs="Times New Roman" w:eastAsia="Times New Roman" w:hAnsi="Times New Roman"/>
                <w:sz w:val="11"/>
                <w:szCs w:val="11"/>
                <w:b w:val="1"/>
                <w:bCs w:val="1"/>
                <w:color w:val="auto"/>
              </w:rPr>
              <w:t>th</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16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Darcy Horn Davenport was our PEO for each year presented in the table above. The individuals comprising the Non-PEO NEOs for each year presented are listed below.</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2021 - 2024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Robert V. Vitale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Paul A. Rode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Douglas J. Cornille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Robin Singh</w:t>
      </w:r>
    </w:p>
    <w:p>
      <w:pPr>
        <w:spacing w:after="0" w:line="112" w:lineRule="exact"/>
        <w:rPr>
          <w:sz w:val="20"/>
          <w:szCs w:val="20"/>
          <w:color w:val="auto"/>
        </w:rPr>
      </w:pPr>
    </w:p>
    <w:p>
      <w:pPr>
        <w:jc w:val="both"/>
        <w:ind w:left="1080" w:right="220" w:hanging="532"/>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81"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7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6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Exclusion of Stock</w:t>
            </w:r>
          </w:p>
        </w:tc>
        <w:tc>
          <w:tcPr>
            <w:tcW w:w="26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8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6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8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Total for Darcy</w:t>
            </w:r>
          </w:p>
        </w:tc>
        <w:tc>
          <w:tcPr>
            <w:tcW w:w="26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Darcy</w:t>
            </w:r>
          </w:p>
        </w:tc>
        <w:tc>
          <w:tcPr>
            <w:tcW w:w="26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Values for Darcy</w:t>
            </w:r>
          </w:p>
        </w:tc>
        <w:tc>
          <w:tcPr>
            <w:tcW w:w="18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7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26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26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18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vMerge w:val="continue"/>
          </w:tcPr>
          <w:p>
            <w:pPr>
              <w:spacing w:after="0"/>
              <w:rPr>
                <w:sz w:val="15"/>
                <w:szCs w:val="15"/>
                <w:color w:val="auto"/>
              </w:rPr>
            </w:pPr>
          </w:p>
        </w:tc>
        <w:tc>
          <w:tcPr>
            <w:tcW w:w="2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4"/>
              </w:rPr>
              <w:t>2024</w:t>
            </w:r>
          </w:p>
        </w:tc>
        <w:tc>
          <w:tcPr>
            <w:tcW w:w="27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9,901,653</w:t>
            </w:r>
          </w:p>
        </w:tc>
        <w:tc>
          <w:tcPr>
            <w:tcW w:w="26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(7,499,798)</w:t>
            </w:r>
          </w:p>
        </w:tc>
        <w:tc>
          <w:tcPr>
            <w:tcW w:w="26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27,237,177</w:t>
            </w:r>
          </w:p>
        </w:tc>
        <w:tc>
          <w:tcPr>
            <w:tcW w:w="18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29,639,032</w:t>
            </w:r>
          </w:p>
        </w:tc>
        <w:tc>
          <w:tcPr>
            <w:tcW w:w="0" w:type="dxa"/>
            <w:vAlign w:val="bottom"/>
          </w:tcPr>
          <w:p>
            <w:pPr>
              <w:spacing w:after="0"/>
              <w:rPr>
                <w:sz w:val="1"/>
                <w:szCs w:val="1"/>
                <w:color w:val="auto"/>
              </w:rPr>
            </w:pPr>
          </w:p>
        </w:tc>
      </w:tr>
      <w:tr>
        <w:trPr>
          <w:trHeight w:val="358"/>
        </w:trPr>
        <w:tc>
          <w:tcPr>
            <w:tcW w:w="1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67</w:t>
            </w:r>
          </w:p>
        </w:tc>
        <w:tc>
          <w:tcPr>
            <w:tcW w:w="2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0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for</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88"/>
        </w:trPr>
        <w:tc>
          <w:tcPr>
            <w:tcW w:w="1020" w:type="dxa"/>
            <w:vAlign w:val="bottom"/>
            <w:vMerge w:val="continue"/>
          </w:tcPr>
          <w:p>
            <w:pPr>
              <w:spacing w:after="0"/>
              <w:rPr>
                <w:sz w:val="16"/>
                <w:szCs w:val="16"/>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720"/>
            <w:col w:w="3760"/>
          </w:cols>
          <w:pgMar w:left="320" w:top="482" w:right="439" w:bottom="1440" w:gutter="0" w:footer="0" w:header="0"/>
        </w:sectPr>
      </w:pPr>
    </w:p>
    <w:p>
      <w:pPr>
        <w:ind w:left="120"/>
        <w:spacing w:after="0"/>
        <w:tabs>
          <w:tab w:leader="none" w:pos="1900" w:val="left"/>
          <w:tab w:leader="none" w:pos="4600" w:val="left"/>
          <w:tab w:leader="none" w:pos="7360" w:val="left"/>
          <w:tab w:leader="none" w:pos="1008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2,027,491</w:t>
      </w:r>
      <w:r>
        <w:rPr>
          <w:sz w:val="20"/>
          <w:szCs w:val="20"/>
          <w:color w:val="auto"/>
        </w:rPr>
        <w:tab/>
      </w:r>
      <w:r>
        <w:rPr>
          <w:rFonts w:ascii="Times New Roman" w:cs="Times New Roman" w:eastAsia="Times New Roman" w:hAnsi="Times New Roman"/>
          <w:sz w:val="18"/>
          <w:szCs w:val="18"/>
          <w:color w:val="auto"/>
        </w:rPr>
        <w:t>(1,273,978)</w:t>
      </w:r>
      <w:r>
        <w:rPr>
          <w:sz w:val="20"/>
          <w:szCs w:val="20"/>
          <w:color w:val="auto"/>
        </w:rPr>
        <w:tab/>
      </w:r>
      <w:r>
        <w:rPr>
          <w:rFonts w:ascii="Times New Roman" w:cs="Times New Roman" w:eastAsia="Times New Roman" w:hAnsi="Times New Roman"/>
          <w:sz w:val="18"/>
          <w:szCs w:val="18"/>
          <w:color w:val="auto"/>
        </w:rPr>
        <w:t>7,700,071</w:t>
      </w:r>
      <w:r>
        <w:rPr>
          <w:sz w:val="20"/>
          <w:szCs w:val="20"/>
          <w:color w:val="auto"/>
        </w:rPr>
        <w:tab/>
      </w:r>
      <w:r>
        <w:rPr>
          <w:rFonts w:ascii="Times New Roman" w:cs="Times New Roman" w:eastAsia="Times New Roman" w:hAnsi="Times New Roman"/>
          <w:sz w:val="18"/>
          <w:szCs w:val="18"/>
          <w:color w:val="auto"/>
        </w:rPr>
        <w:t>8,453,584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8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8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4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46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Year to</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at Last Day</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Year of</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 Inclusion</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Year for</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for Darcy Horn</w:t>
            </w:r>
          </w:p>
        </w:tc>
        <w:tc>
          <w:tcPr>
            <w:tcW w:w="0" w:type="dxa"/>
            <w:vAlign w:val="bottom"/>
          </w:tcPr>
          <w:p>
            <w:pPr>
              <w:spacing w:after="0"/>
              <w:rPr>
                <w:sz w:val="1"/>
                <w:szCs w:val="1"/>
                <w:color w:val="auto"/>
              </w:rPr>
            </w:pPr>
          </w:p>
        </w:tc>
      </w:tr>
      <w:tr>
        <w:trPr>
          <w:trHeight w:val="149"/>
        </w:trPr>
        <w:tc>
          <w:tcPr>
            <w:tcW w:w="7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94"/>
              </w:rPr>
              <w:t>2024</w:t>
            </w:r>
          </w:p>
        </w:tc>
        <w:tc>
          <w:tcPr>
            <w:tcW w:w="17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17,288,148</w:t>
            </w:r>
          </w:p>
        </w:tc>
        <w:tc>
          <w:tcPr>
            <w:tcW w:w="18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9,660,363</w:t>
            </w:r>
          </w:p>
        </w:tc>
        <w:tc>
          <w:tcPr>
            <w:tcW w:w="18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288,666</w:t>
            </w:r>
          </w:p>
        </w:tc>
        <w:tc>
          <w:tcPr>
            <w:tcW w:w="1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27,237,177</w:t>
            </w:r>
          </w:p>
        </w:tc>
        <w:tc>
          <w:tcPr>
            <w:tcW w:w="0" w:type="dxa"/>
            <w:vAlign w:val="bottom"/>
          </w:tcPr>
          <w:p>
            <w:pPr>
              <w:spacing w:after="0"/>
              <w:rPr>
                <w:sz w:val="1"/>
                <w:szCs w:val="1"/>
                <w:color w:val="auto"/>
              </w:rPr>
            </w:pPr>
          </w:p>
        </w:tc>
      </w:tr>
      <w:tr>
        <w:trPr>
          <w:trHeight w:val="360"/>
        </w:trPr>
        <w:tc>
          <w:tcPr>
            <w:tcW w:w="780" w:type="dxa"/>
            <w:vAlign w:val="bottom"/>
          </w:tcPr>
          <w:p>
            <w:pPr>
              <w:spacing w:after="0"/>
              <w:rPr>
                <w:sz w:val="24"/>
                <w:szCs w:val="24"/>
                <w:color w:val="auto"/>
              </w:rPr>
            </w:pPr>
          </w:p>
        </w:tc>
        <w:tc>
          <w:tcPr>
            <w:tcW w:w="17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Year-End</w:t>
            </w:r>
          </w:p>
        </w:tc>
        <w:tc>
          <w:tcPr>
            <w:tcW w:w="1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Vesting-Date</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46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Year to</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of Year for</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0" w:type="dxa"/>
            <w:vAlign w:val="bottom"/>
          </w:tcPr>
          <w:p>
            <w:pPr>
              <w:spacing w:after="0"/>
              <w:rPr>
                <w:sz w:val="1"/>
                <w:szCs w:val="1"/>
                <w:color w:val="auto"/>
              </w:rPr>
            </w:pPr>
          </w:p>
        </w:tc>
      </w:tr>
      <w:tr>
        <w:trPr>
          <w:trHeight w:val="148"/>
        </w:trPr>
        <w:tc>
          <w:tcPr>
            <w:tcW w:w="7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94"/>
              </w:rPr>
              <w:t>2024</w:t>
            </w:r>
          </w:p>
        </w:tc>
        <w:tc>
          <w:tcPr>
            <w:tcW w:w="1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2,835,092</w:t>
            </w:r>
          </w:p>
        </w:tc>
        <w:tc>
          <w:tcPr>
            <w:tcW w:w="1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4,698,454</w:t>
            </w:r>
          </w:p>
        </w:tc>
        <w:tc>
          <w:tcPr>
            <w:tcW w:w="1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166,524</w:t>
            </w:r>
          </w:p>
        </w:tc>
        <w:tc>
          <w:tcPr>
            <w:tcW w:w="14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7,700,071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80" w:hanging="532"/>
        <w:spacing w:after="0" w:line="25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S&amp;P Composite 1500 Packaged Foods &amp; Meats (“S&amp;P 1500 Packaged Foods &amp; Meats”), which we also utilize in the stock performance graph required by Item 201(e) of Regulation S-K included in our Annual Report for the year ended September 30, 2024. The comparison assumes $100 was invested for the period starting September 30, 2020, through the end of the listed year in the Company and in the S&amp;P 1500 Packaged Foods &amp; Meats, respectively. Historical stock performance is not necessarily indicative of future stock performance.</w:t>
      </w:r>
    </w:p>
    <w:p>
      <w:pPr>
        <w:spacing w:after="0" w:line="88"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1-Year Relative TSR Percentile Rank of Russell 3000 Food Products Index (“1-Year Relative TSR Percentile”) to be the most important financial performance measure used to link Company performance to Compensation Actually Paid to our PEO and Non-PEO NEOs in 2024. This performance measure may not have been the most important financial performance measure in prior years, and we may determine a different financial performance measure to be the most important financial performance measure in future years.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(“TSR”)</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the Company’s cumulative TSR over the four most recently completed fiscal years, and the S&amp;P 1500 Packaged Foods &amp; Meats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140335</wp:posOffset>
            </wp:positionV>
            <wp:extent cx="5212080" cy="28803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82"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975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40"/>
        <w:spacing w:after="0" w:line="454" w:lineRule="auto"/>
        <w:rPr>
          <w:sz w:val="20"/>
          <w:szCs w:val="20"/>
          <w:color w:val="auto"/>
        </w:rPr>
      </w:pPr>
      <w:r>
        <w:rPr>
          <w:rFonts w:ascii="Times New Roman" w:cs="Times New Roman" w:eastAsia="Times New Roman" w:hAnsi="Times New Roman"/>
          <w:sz w:val="18"/>
          <w:szCs w:val="18"/>
          <w:color w:val="auto"/>
        </w:rPr>
        <w:t>Relationship Between PEO and Non-PEO NEO Compensation Actually Paid and Company-Selected Measure, 1-Year Relative TSR Percentile Rank 70</w:t>
      </w:r>
    </w:p>
    <w:p>
      <w:pPr>
        <w:sectPr>
          <w:pgSz w:w="11900" w:h="16838" w:orient="portrait"/>
          <w:cols w:equalWidth="0" w:num="1">
            <w:col w:w="10840"/>
          </w:cols>
          <w:pgMar w:left="320" w:top="482" w:right="7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1-Year Relative TSR Percentile Rank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721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Tabular List of Most Important Financial Performance Measures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other NEOs for 2024 to Company performance. The measures in this table are not ranked.</w:t>
      </w:r>
    </w:p>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1-Year Relative TSR Percentile Rank</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Revenue – Corporate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Revenue – Premier Nutrition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 Corporate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 Premier Nutrition</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320" w:top="482" w:right="5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NON-BINDING ADVISORY VOTE ON EXECUTIVE COMPENSATION</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(Proxy Item No. 4)</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vote to approve or not approve, on an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We are providing this vote as required by Section 14A of the Exchange Act, which was added to the Exchange Act by Section 951 of the Dodd-Frank Wall Street Reform and Consumer Protection Act of 2010. The Board of Directors believes that the overall design and function of the Company’s executive compensation program is appropriate and effective in aligning the interests of management and the Company’s stockholders and that management is properly incentivized to manage the Company in a prudent manner. Accordingly, we are asking our stockholders to vote “FOR” the adoption of the following resolution:</w:t>
      </w:r>
    </w:p>
    <w:p>
      <w:pPr>
        <w:spacing w:after="0" w:line="84"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“RESOLVED, that the stockholders advise that they approve the compensation of the named executive officers of the Company, as disclosed in the “Compensation Discussion and Analysis” and “Executive Compensation” sections of this proxy statement pursuant to the compensation disclosure rules of the Securities and Exchange Commission (which disclosure shall include the Compensation Discussion and Analysis, the compensation tables and any related material).”</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Corporate Governance and Compensation Committee will review the voting results in connection with their ongoing evaluation of the Company’s executive compensation program.</w:t>
      </w:r>
    </w:p>
    <w:p>
      <w:pPr>
        <w:spacing w:after="0" w:line="374" w:lineRule="exact"/>
        <w:rPr>
          <w:sz w:val="20"/>
          <w:szCs w:val="20"/>
          <w:color w:val="auto"/>
        </w:rPr>
      </w:pPr>
    </w:p>
    <w:p>
      <w:pPr>
        <w:jc w:val="center"/>
        <w:ind w:left="560" w:right="80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“FOR” the advisory approval of the resolution set forth above. </w:t>
      </w:r>
      <w:r>
        <w:rPr>
          <w:rFonts w:ascii="Times New Roman" w:cs="Times New Roman" w:eastAsia="Times New Roman" w:hAnsi="Times New Roman"/>
          <w:sz w:val="18"/>
          <w:szCs w:val="18"/>
          <w:color w:val="auto"/>
        </w:rPr>
        <w:t>72</w:t>
      </w:r>
    </w:p>
    <w:p>
      <w:pPr>
        <w:sectPr>
          <w:pgSz w:w="11900" w:h="16838" w:orient="portrait"/>
          <w:cols w:equalWidth="0" w:num="1">
            <w:col w:w="11020"/>
          </w:cols>
          <w:pgMar w:left="320" w:top="482"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 PROPOSAL TO ADOPT A DIRECTOR ELECTION RESIGNATION GUIDELINE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Item No. 5)</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North Atlantic States Carpenters Pension Fund (the “NASCP Fund”), 750 Dorchester Avenue, Boston, MA 02125, which states that it owns at least $25,000 of shares of BellRing Brands, Inc. common stock, has notified the Company in writing that it intends to present a resolution for action by the stockholders at the Annual Meeting in accordance with Rule 14a-8 of the Exchange Act. The text of the resolution and the supporting statement submitted by the NASCP Fund are as follows: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Election Resignation Guideline Proposal:</w:t>
      </w:r>
    </w:p>
    <w:p>
      <w:pPr>
        <w:spacing w:after="0" w:line="117"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The shareholders of Bellring Brands, Inc. (the “Company”) request that the Board adopt a new Director Election Resignation Guideline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Guideline” or “Guideline”) provision to address those situations when one or more incumbent Board nominees fail to receive the required majority vote for re-election. The Resignation Guideline shall provide that each director upon joining the Board tender an irrevocable conditional resignation conditioned on the director’s failure to receive the required majority vote support in an uncontested election. The Guideline shall provide that the resignation will be effective ninety days following the certification of the election vote.</w:t>
      </w:r>
    </w:p>
    <w:p>
      <w:pPr>
        <w:spacing w:after="0" w:line="17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Supporting Statement: </w:t>
      </w:r>
      <w:r>
        <w:rPr>
          <w:rFonts w:ascii="Times New Roman" w:cs="Times New Roman" w:eastAsia="Times New Roman" w:hAnsi="Times New Roman"/>
          <w:sz w:val="18"/>
          <w:szCs w:val="18"/>
          <w:color w:val="auto"/>
        </w:rPr>
        <w:t>Delaware corporate law provides that a director remains on the board until his or her successor is elected and qualified, or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or she resigns or is removed from office. An incumbent director who fails to receive the required vote for election continues to serve as a “holdover director.” Delaware corporate law was amended in 2006 to provide for director resignations conditioned on an incumbent director’s failure to be re-elected under the majority vote standard that was broadly adopted in the market. The law provided that the resignation could be conditional and irrevocable and was designed to effectuate the majority vote election standard as incumbent directors in uncontested director elections could now be unelected but continue to serve. The proposed Resignation Guideline would establish a straightforward process for effectuating the election outcome determined by shareholders.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Shareholder voting rights to elect the corporate board of directors established under Delaware corporate law are foundational rights in the governance of corporations. The majority vote director election standard adopted by the Company gives shareholders voting rights that have legal effect. It is important that corporate director resignation guidelines and bylaws not undermine shareholder voting rights. The proposed Resignation Guideline establishes shareholder voting in director elections as a more consequential governance right.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End of Shareholder Proposal and Supporting Statement</w:t>
      </w:r>
    </w:p>
    <w:p>
      <w:pPr>
        <w:spacing w:after="0" w:line="22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 xml:space="preserve">The Board recommends that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proposal because it believes the Company’s current policies regarding director elections already provide significant and sufficient accountability to stockholders, making the proposal unnecessary and not in the best interests of the stockholders as described below.</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already require directors who fail to receive majority support in uncontested elections to tender their resignation.</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Charter and Bylaws provide for majority voting in an uncontested election of directors, and in November 2024 the Board of Directors amended the Company’s Corporate Governance Guidelines to adopt a director resignation policy that requires any incumbent director who receives more votes “against” than votes “for” to offer his or her resignation for Board consideration. Pursuant to the amended Corporate Governance Guidelines:</w:t>
      </w:r>
    </w:p>
    <w:p>
      <w:pPr>
        <w:spacing w:after="0" w:line="81" w:lineRule="exact"/>
        <w:rPr>
          <w:sz w:val="20"/>
          <w:szCs w:val="20"/>
          <w:color w:val="auto"/>
        </w:rPr>
      </w:pPr>
    </w:p>
    <w:p>
      <w:pPr>
        <w:ind w:left="1080" w:right="4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will submit a resignation promptly following a stockholder meeting where he or she does not receive a majority vote in an uncontested director election;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of the Board of Directors will consider the resignation and recommend to the Board of Directors whether to accept or reject it;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and Board of Directors will consider all factors or other information that they determine relevant in making a determination to accept or reject a director’s resignation;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make determination within 90 days of the certification of election results;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tenders his or her resignation pursuant to the guidelines will continue to serve during that consideration period, but will not participate in any deliberations or votes about his/her or other directors’ resignations.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believe that the Company’s current majority vote and director resignation provisions are best practice, align with market standard, already ensure accountability in the rare instance where a majority of stockholders vote against a director, and provide a more appropriate standard of conduct for our directors in light of the provisions of Delaware law that govern their actions as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committed to sound corporate governance and are responsive to stockholder feedback.</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This proposal is a “solution in search of a problem” by presupposing that our Board would not be responsive in the case of a failed director vote. Since our initial public offering in 2019 no director nominee proposed by our Board has failed to receive a majority vote. We are not alone in this statistic. Only 10 companies in the S&amp;P 500 have had directors receive below 50% support in the past 5 years and generally those votes have reflected a lack of responsiveness by the company’s board to stockholder concerns.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regularly seeks stockholder input on important questions of corporate governance and repeatedly has demonstrated that it is responsive to stockholder feedback, including as expressed through the results of director elections, the Board’s decision to seek stockholder approval to declassify the Board of Directors at the Annual Meeting, and the adoption of the Company’s amended Corporate Governance Guidelines and director resignation policy in November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proposal is overly prescriptive in limiting the Board’s discretion to act in the best interests of stockholders.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believe that the automatic effectiveness of the irrevocable resignation required by this stockholder proposal is an undue restriction on the Board’s decision making authority and is inflexible in that it does not take into account the circumstances of the vote and whether any causes of the withhold votes can be remediated by the Board. We believe the Board needs the freedom to act under the then-existing circumstances, and subsequently remain accountable to the stockholders for their action, rather than prescribing a rule that may have unintended consequences.</w:t>
      </w:r>
    </w:p>
    <w:p>
      <w:pPr>
        <w:spacing w:after="0" w:line="176" w:lineRule="exact"/>
        <w:rPr>
          <w:sz w:val="20"/>
          <w:szCs w:val="20"/>
          <w:color w:val="auto"/>
        </w:rPr>
      </w:pPr>
    </w:p>
    <w:p>
      <w:pPr>
        <w:jc w:val="center"/>
        <w:ind w:left="460"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“AGAINST” the Stockholder Proposal to Adopt a Director Election Resignation Guideline.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$16,500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Director Nominations and Proposals for the 2026 Annual Meeting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stockholders who desire to nominate a director or present any other business at an annual meeting of stockholders must follow certain procedures. Generally, to be considered at the 2026 annual meeting of stockholders, a stockholder nomination of a director or a proposal not to be included in the proxy statement and notice of meeting must be received by the corporate secretary between September 30, 2025 and October 30, 2025. However, if the stockholder desires that the proposal be included in our proxy statement and notice of meeting for the 2026 annual meeting of stockholders, then it must be received by our corporate secretary no later than August 19, 2025 and also must comply in all respects with the rules and regulations of the SEC and the laws of the State of Delaware. A copy of the Bylaws will be furnished to any stockholder without charge upon written request to our corporate secretary.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10-K and Other Filings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644-7600 or by mail at our principal executive offices at BellRing Brands, Inc., 2503 S. Hanley Road, St. Louis, Missouri 63144, Attention: Corporate Secretary. These documents also are available on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and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our 2024 annual report to stockholders may be viewed online at </w:t>
      </w:r>
      <w:r>
        <w:rPr>
          <w:rFonts w:ascii="Times New Roman" w:cs="Times New Roman" w:eastAsia="Times New Roman" w:hAnsi="Times New Roman"/>
          <w:sz w:val="18"/>
          <w:szCs w:val="18"/>
          <w:i w:val="1"/>
          <w:iCs w:val="1"/>
          <w:color w:val="auto"/>
        </w:rPr>
        <w:t xml:space="preserve">www.envisionreports.com/BRBR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www.bellring.com</w:t>
      </w:r>
      <w:r>
        <w:rPr>
          <w:rFonts w:ascii="Times New Roman" w:cs="Times New Roman" w:eastAsia="Times New Roman" w:hAnsi="Times New Roman"/>
          <w:sz w:val="18"/>
          <w:szCs w:val="18"/>
          <w:color w:val="auto"/>
        </w:rPr>
        <w:t>. Information on our website does not constitute part of (and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incorporated by reference in) this proxy statement or any other document we file with the SEC. You may find more information about the date, time and location of the annual meeting of stockholders, as well as the items to be voted on by stockholders at the annual meeting, in the section entitled </w:t>
      </w:r>
      <w:r>
        <w:rPr>
          <w:rFonts w:ascii="Times New Roman" w:cs="Times New Roman" w:eastAsia="Times New Roman" w:hAnsi="Times New Roman"/>
          <w:sz w:val="18"/>
          <w:szCs w:val="18"/>
          <w:i w:val="1"/>
          <w:iCs w:val="1"/>
          <w:color w:val="auto"/>
        </w:rPr>
        <w:t xml:space="preserve">Proxy and Voting Information </w:t>
      </w:r>
      <w:r>
        <w:rPr>
          <w:rFonts w:ascii="Times New Roman" w:cs="Times New Roman" w:eastAsia="Times New Roman" w:hAnsi="Times New Roman"/>
          <w:sz w:val="18"/>
          <w:szCs w:val="18"/>
          <w:color w:val="auto"/>
        </w:rPr>
        <w:t>beginning on page 4 of this proxy statement. There, you also will find information about attending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your proxy, including where you may find the individual control numbers necessary to vote your shares by telephone or over the Internet.</w:t>
      </w:r>
    </w:p>
    <w:p>
      <w:pPr>
        <w:spacing w:after="0" w:line="187"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If you are a stockholder of record and are interested in receiving future proxy statements and annual reports electronically, you should contact our transfer agent by accessing your account at </w:t>
      </w:r>
      <w:r>
        <w:rPr>
          <w:rFonts w:ascii="Times New Roman" w:cs="Times New Roman" w:eastAsia="Times New Roman" w:hAnsi="Times New Roman"/>
          <w:sz w:val="17"/>
          <w:szCs w:val="17"/>
          <w:i w:val="1"/>
          <w:iCs w:val="1"/>
          <w:color w:val="auto"/>
        </w:rPr>
        <w:t>www.envisionreports.com/ BRBR</w:t>
      </w:r>
      <w:r>
        <w:rPr>
          <w:rFonts w:ascii="Times New Roman" w:cs="Times New Roman" w:eastAsia="Times New Roman" w:hAnsi="Times New Roman"/>
          <w:sz w:val="17"/>
          <w:szCs w:val="17"/>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a period of 10 days prior to the annual meeting, a complete list of the stockholders entitled to vote at the annual meeting will be available and open to the inspection of any stockholder during normal business hours at our principal executive offices at 2503 S. Hanley Road, St. Louis, Missouri 63144. As our principal executive offices may be closed to accommodate remote work at certain times, please contact our corporate secretary by telephone at (314) 644-7600 in advance to arrange for inspection of the list of stockholders. A complete list of stockholders entitled to vote at the annual meeting also will be available at the annual meeting website during the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644-7600 or by mail at our principal executive offices at BellRing Brands, Inc., 2503 S. Hanley Road, St. Louis, Missouri 63144, Attention: Corporate Secretary.</w:t>
      </w:r>
    </w:p>
    <w:p>
      <w:pPr>
        <w:spacing w:after="0" w:line="2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340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891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17, 2024</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82"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BellRing Brands, Inc. (the “Company”), a corporation organized and existing under and by virtue of the General Corporation Law of the State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left="120" w:right="100" w:firstLine="436"/>
        <w:spacing w:after="0" w:line="282" w:lineRule="auto"/>
        <w:tabs>
          <w:tab w:leader="none" w:pos="7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BellRing Brands, Inc. The Company’s Certificate of Incorporation was originally filed with the Secretary of State of the State of Delaware on October 20, 2021.</w:t>
      </w:r>
    </w:p>
    <w:p>
      <w:pPr>
        <w:spacing w:after="0" w:line="161"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7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54"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BellRing Brands, Inc. (the “Corporation”) as currently in effect is hereby amended by deleting therefrom in its entirety Section 7.1 of and inserting in lieu thereof the following:</w:t>
      </w:r>
    </w:p>
    <w:p>
      <w:pPr>
        <w:spacing w:after="0" w:line="54" w:lineRule="exact"/>
        <w:rPr>
          <w:sz w:val="20"/>
          <w:szCs w:val="20"/>
          <w:color w:val="auto"/>
        </w:rPr>
      </w:pPr>
    </w:p>
    <w:p>
      <w:pPr>
        <w:ind w:left="560" w:right="40"/>
        <w:spacing w:after="0" w:line="277"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Number and Classification</w:t>
      </w:r>
      <w:r>
        <w:rPr>
          <w:rFonts w:ascii="Times New Roman" w:cs="Times New Roman" w:eastAsia="Times New Roman" w:hAnsi="Times New Roman"/>
          <w:sz w:val="17"/>
          <w:szCs w:val="17"/>
          <w:color w:val="auto"/>
        </w:rPr>
        <w:t>. Subject to the special rights, if any, of the holders of any outstanding series of Preferred Stock to elect directors, the number of directors shall be fixed by, or in the manner provided in, the Bylaws, but shall not be less than five nor more than twelve members. Subject to the special rights, if any, of the holders of any outstanding series of Preferred Stock to elect directors, the names of the seven (7) current directors who shall serve until the expiration of the respective terms for which they were elected, and until their successors are duly elected and qualified or until their earlier death, resignation or removal, and the year in which the current term of each such director shall expire are: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0" w:type="dxa"/>
            <w:vAlign w:val="bottom"/>
          </w:tcPr>
          <w:p>
            <w:pPr>
              <w:spacing w:after="0"/>
              <w:rPr>
                <w:sz w:val="1"/>
                <w:szCs w:val="1"/>
                <w:color w:val="auto"/>
              </w:rPr>
            </w:pPr>
          </w:p>
        </w:tc>
      </w:tr>
      <w:tr>
        <w:trPr>
          <w:trHeight w:val="160"/>
        </w:trPr>
        <w:tc>
          <w:tcPr>
            <w:tcW w:w="6760" w:type="dxa"/>
            <w:vAlign w:val="bottom"/>
            <w:gridSpan w:val="2"/>
            <w:vMerge w:val="continue"/>
          </w:tcPr>
          <w:p>
            <w:pPr>
              <w:spacing w:after="0"/>
              <w:rPr>
                <w:sz w:val="13"/>
                <w:szCs w:val="13"/>
                <w:color w:val="auto"/>
              </w:rPr>
            </w:pPr>
          </w:p>
        </w:tc>
        <w:tc>
          <w:tcPr>
            <w:tcW w:w="7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V. Vitale</w:t>
            </w:r>
          </w:p>
        </w:tc>
        <w:tc>
          <w:tcPr>
            <w:tcW w:w="660" w:type="dxa"/>
            <w:vAlign w:val="bottom"/>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Each director shall serve for the term of office for which he or she is elected, and until his or her successor is duly elected and qualifies or until their earlier death, resignation or removal. At each annual meeting of stockholders commencing with the annual meeting of stockholders held in 2025, the successors to the directors whose term expires at such annual meeting of stockholders shall be elected to hold office until the next annual meeting of stockholders and until their successors are duly elected and qualified or until their earlier death, resignation or removal.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Certificate of Incorporation or any certificate of designation thereunder applicable thereto. As used in this Certificate of Incorporation, the term “entire Board” means the total number of directors fixed by, or in accordance with, this Certificate of Incorporation and the Bylaws.</w:t>
      </w:r>
    </w:p>
    <w:p>
      <w:pPr>
        <w:spacing w:after="0" w:line="188" w:lineRule="exact"/>
        <w:rPr>
          <w:sz w:val="20"/>
          <w:szCs w:val="20"/>
          <w:color w:val="auto"/>
        </w:rPr>
      </w:pPr>
    </w:p>
    <w:p>
      <w:pPr>
        <w:ind w:left="120" w:right="640" w:firstLine="436"/>
        <w:spacing w:after="0" w:line="282" w:lineRule="auto"/>
        <w:tabs>
          <w:tab w:leader="none" w:pos="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82" w:lineRule="auto"/>
        <w:tabs>
          <w:tab w:leader="none" w:pos="7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this 28th day of January, 2025.</w:t>
      </w:r>
    </w:p>
    <w:p>
      <w:pPr>
        <w:spacing w:after="0" w:line="200" w:lineRule="exact"/>
        <w:rPr>
          <w:sz w:val="20"/>
          <w:szCs w:val="20"/>
          <w:color w:val="auto"/>
        </w:rPr>
      </w:pPr>
    </w:p>
    <w:p>
      <w:pPr>
        <w:spacing w:after="0" w:line="30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0"/>
          </w:cols>
          <w:pgMar w:left="320" w:top="482"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PROPOSED BYLAW AMENDMENT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Bylaws of BellRing Brands, Inc. as currently in effect are hereby amended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Section 1 of Article II is hereby deleted in its entirety and amended and inserting in lieu thereof the following:</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 ELECTION; TENURE; QUALIFICATIONS; NOMINATIONS:</w:t>
      </w:r>
    </w:p>
    <w:p>
      <w:pPr>
        <w:spacing w:after="0" w:line="117" w:lineRule="exact"/>
        <w:rPr>
          <w:sz w:val="20"/>
          <w:szCs w:val="20"/>
          <w:color w:val="auto"/>
        </w:rPr>
      </w:pPr>
    </w:p>
    <w:p>
      <w:pPr>
        <w:ind w:left="120" w:hanging="4"/>
        <w:spacing w:after="0" w:line="282" w:lineRule="auto"/>
        <w:tabs>
          <w:tab w:leader="none" w:pos="3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consist of not less than five nor more than twelve members. The number of directors that shall constitute the Board of Directors shall be fixed exclusively by resolutions adopted by a majority of the authorized number of directors constituting the Board of Directors.</w:t>
      </w:r>
    </w:p>
    <w:p>
      <w:pPr>
        <w:spacing w:after="0" w:line="161" w:lineRule="exact"/>
        <w:rPr>
          <w:rFonts w:ascii="Times New Roman" w:cs="Times New Roman" w:eastAsia="Times New Roman" w:hAnsi="Times New Roman"/>
          <w:sz w:val="18"/>
          <w:szCs w:val="18"/>
          <w:color w:val="auto"/>
        </w:rPr>
      </w:pPr>
    </w:p>
    <w:p>
      <w:pPr>
        <w:ind w:left="120" w:right="300" w:hanging="4"/>
        <w:spacing w:after="0" w:line="266" w:lineRule="auto"/>
        <w:tabs>
          <w:tab w:leader="none" w:pos="3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stockholders commencing with the annual meeting of stockholders held in 2025, the successors to the directors whose term expires at such annual meeting of stockholders shall be elected to hold office until the next annual meeting of stockholders and until their successors are duly elected and qualified or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120" w:hanging="4"/>
        <w:spacing w:after="0" w:line="252" w:lineRule="auto"/>
        <w:tabs>
          <w:tab w:leader="none" w:pos="3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1(g) in this Article II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 (i) pursuant to the Corporation’s notice of the meeting (or any supplement thereto), (ii) by or at the direction of the Board or any committee thereof or (iii) by any stockholder of the Corporation who is a stockholder of record of the Corporation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1(g) in this Article II, shall be the exclusive means for a stockholder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Corporation who is a stockholder of record at the time the notice provided in this Section 1(c) of Article II of these Bylaws is delivered to the Secretary of the Corporation,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shall be the exclusive means for a stockholder to make nominations of persons for election to the Board at a special meeting of stockholders.</w:t>
      </w:r>
    </w:p>
    <w:p>
      <w:pPr>
        <w:spacing w:after="0" w:line="19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Section 1(g) in this Article II, for any nominations by a stockholder to be properly brought before an annual or special meeting of stockholders pursuant to clauses (c)(iii) and (c)(y) of the preceding paragraph of these Bylaws, the stockholder must have given timely notice thereof in writing to the Secretary of the Corporation. To be timely, a stockholder’s notice in writing must be delivered or mailed to and received by the Secretary of the Corporation at the principal executive office of the Corporation (i) in the case of an annual meeting, not less than 90 days nor more than 120 days prior to the first anniversary of the preceding year’s annual meeting, provided, however,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3"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At the request of the Board, any person nominated by the Board for election as a director shall furnish to the Secretary of the Corporation that information required to be set forth in a stockholder’s notice of nomination under Section 1(d)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Corporation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Corporation at the principal executive office of the Corporation not later than the close of business on the 10th day following the day on which such public announcement is first made by the Corporation.</w:t>
      </w:r>
    </w:p>
    <w:p>
      <w:pPr>
        <w:spacing w:after="0" w:line="192" w:lineRule="exact"/>
        <w:rPr>
          <w:sz w:val="20"/>
          <w:szCs w:val="20"/>
          <w:color w:val="auto"/>
        </w:rPr>
      </w:pPr>
    </w:p>
    <w:p>
      <w:pPr>
        <w:ind w:left="120" w:right="420" w:hanging="4"/>
        <w:spacing w:after="0" w:line="282" w:lineRule="auto"/>
        <w:tabs>
          <w:tab w:leader="none" w:pos="3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162" w:lineRule="exact"/>
        <w:rPr>
          <w:sz w:val="20"/>
          <w:szCs w:val="20"/>
          <w:color w:val="auto"/>
        </w:rPr>
      </w:pPr>
    </w:p>
    <w:p>
      <w:pPr>
        <w:ind w:left="340" w:hanging="224"/>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of such person;</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person currently and for the previous five years;</w:t>
      </w:r>
    </w:p>
    <w:p>
      <w:pPr>
        <w:spacing w:after="0" w:line="225" w:lineRule="exact"/>
        <w:rPr>
          <w:rFonts w:ascii="Times New Roman" w:cs="Times New Roman" w:eastAsia="Times New Roman" w:hAnsi="Times New Roman"/>
          <w:sz w:val="18"/>
          <w:szCs w:val="18"/>
          <w:color w:val="auto"/>
        </w:rPr>
      </w:pPr>
    </w:p>
    <w:p>
      <w:pPr>
        <w:ind w:left="120" w:right="80" w:hanging="4"/>
        <w:spacing w:after="0" w:line="255" w:lineRule="auto"/>
        <w:tabs>
          <w:tab w:leader="none" w:pos="4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188" w:lineRule="exact"/>
        <w:rPr>
          <w:rFonts w:ascii="Times New Roman" w:cs="Times New Roman" w:eastAsia="Times New Roman" w:hAnsi="Times New Roman"/>
          <w:sz w:val="18"/>
          <w:szCs w:val="18"/>
          <w:color w:val="auto"/>
        </w:rPr>
      </w:pPr>
    </w:p>
    <w:p>
      <w:pPr>
        <w:ind w:left="120" w:right="160" w:hanging="4"/>
        <w:spacing w:after="0" w:line="266" w:lineRule="auto"/>
        <w:tabs>
          <w:tab w:leader="none" w:pos="4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representation that he or she is eligible to serve as a director pursuant to Section 11 of Article II of these Bylaws and whether such person has acted in any manner contrary to the best interest of the Corporation, including, but not limited to, the violation of any federal or state law or breach of any agreement between that person and the Corporation relating to his or her services as a director, employee or agent of the Corporation;</w:t>
      </w:r>
    </w:p>
    <w:p>
      <w:pPr>
        <w:spacing w:after="0" w:line="17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as a nominee and to serving as a director if elected; and</w:t>
      </w:r>
    </w:p>
    <w:p>
      <w:pPr>
        <w:spacing w:after="0" w:line="225" w:lineRule="exact"/>
        <w:rPr>
          <w:rFonts w:ascii="Times New Roman" w:cs="Times New Roman" w:eastAsia="Times New Roman" w:hAnsi="Times New Roman"/>
          <w:sz w:val="18"/>
          <w:szCs w:val="18"/>
          <w:color w:val="auto"/>
        </w:rPr>
      </w:pPr>
    </w:p>
    <w:p>
      <w:pPr>
        <w:ind w:left="120" w:right="460" w:hanging="4"/>
        <w:spacing w:after="0" w:line="266" w:lineRule="auto"/>
        <w:tabs>
          <w:tab w:leader="none" w:pos="4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40" w:hanging="4"/>
        <w:spacing w:after="0" w:line="282" w:lineRule="auto"/>
        <w:tabs>
          <w:tab w:leader="none" w:pos="3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stockholder’s notice also shall set forth as to the stockholder(s) giving the notice and the beneficial owner, if any, on whose behalf the nomination is made:</w:t>
      </w:r>
    </w:p>
    <w:p>
      <w:pPr>
        <w:spacing w:after="0" w:line="162" w:lineRule="exact"/>
        <w:rPr>
          <w:sz w:val="20"/>
          <w:szCs w:val="20"/>
          <w:color w:val="auto"/>
        </w:rPr>
      </w:pPr>
    </w:p>
    <w:p>
      <w:pPr>
        <w:ind w:left="340" w:hanging="224"/>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and beneficial owner, as they appear in the Corporation’s stockholder records;</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Proposing Stockholder Information as defined in Section 8(e) of Article I of these Bylaws;</w:t>
      </w:r>
    </w:p>
    <w:p>
      <w:pPr>
        <w:spacing w:after="0" w:line="225" w:lineRule="exact"/>
        <w:rPr>
          <w:rFonts w:ascii="Times New Roman" w:cs="Times New Roman" w:eastAsia="Times New Roman" w:hAnsi="Times New Roman"/>
          <w:sz w:val="18"/>
          <w:szCs w:val="18"/>
          <w:color w:val="auto"/>
        </w:rPr>
      </w:pPr>
    </w:p>
    <w:p>
      <w:pPr>
        <w:ind w:left="120" w:right="260" w:hanging="4"/>
        <w:spacing w:after="0" w:line="282" w:lineRule="auto"/>
        <w:tabs>
          <w:tab w:leader="none" w:pos="4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shares of the Corporation, is entitled to vote at such meeting and intends to appear in person or by proxy at the meeting to nominate the person or persons specified in the notice;</w:t>
      </w:r>
    </w:p>
    <w:p>
      <w:pPr>
        <w:spacing w:after="0" w:line="161"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or beneficial owner that would be required to be disclosed in a proxy statement or other filing</w:t>
      </w:r>
    </w:p>
    <w:p>
      <w:pPr>
        <w:spacing w:after="0" w:line="27" w:lineRule="exact"/>
        <w:rPr>
          <w:rFonts w:ascii="Times New Roman" w:cs="Times New Roman" w:eastAsia="Times New Roman" w:hAnsi="Times New Roman"/>
          <w:sz w:val="18"/>
          <w:szCs w:val="18"/>
          <w:color w:val="auto"/>
        </w:rPr>
      </w:pPr>
    </w:p>
    <w:p>
      <w:pPr>
        <w:ind w:left="1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be made in connection with the solicitation of proxies for the election of directors in a contested election, or is otherwise required pursuant to Section 14 of the Exchange Act and the rules and regulations thereunder; and</w:t>
      </w:r>
    </w:p>
    <w:p>
      <w:pPr>
        <w:spacing w:after="0" w:line="181" w:lineRule="exact"/>
        <w:rPr>
          <w:rFonts w:ascii="Times New Roman" w:cs="Times New Roman" w:eastAsia="Times New Roman" w:hAnsi="Times New Roman"/>
          <w:sz w:val="18"/>
          <w:szCs w:val="18"/>
          <w:color w:val="auto"/>
        </w:rPr>
      </w:pPr>
    </w:p>
    <w:p>
      <w:pPr>
        <w:ind w:left="120" w:right="60" w:hanging="4"/>
        <w:spacing w:after="0" w:line="266"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Corporation’s outstanding capital stock required to elect the nominee, or (ii) otherwise solicit proxies from stockholders in support of such nominee.</w:t>
      </w:r>
    </w:p>
    <w:p>
      <w:pPr>
        <w:spacing w:after="0" w:line="176" w:lineRule="exact"/>
        <w:rPr>
          <w:sz w:val="20"/>
          <w:szCs w:val="20"/>
          <w:color w:val="auto"/>
        </w:rPr>
      </w:pPr>
    </w:p>
    <w:p>
      <w:pPr>
        <w:ind w:left="120" w:hanging="4"/>
        <w:spacing w:after="0" w:line="252" w:lineRule="auto"/>
        <w:tabs>
          <w:tab w:leader="none" w:pos="3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qualifications set out in Section 11 of Article II of these Bylaws, to be eligible to be a nominee for election or reelection as a director of the Corporation,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Corporation at the principal executive office of the Corporation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Corporation, including without limitation (i) all information concerning such person that would be required to be disclosed in solicitation of proxies for election of directors pursuant to and in accordance with Regulation 14A under the Exchange Act and (ii) any information the Corporation may reasonably request to determine the eligibility of the proposed nominee to serve as an independent director under the rules of any exchange upon which shares of the Corporation’s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Corporation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“Voting Commitment”) that has not been disclosed to the Corporation or (2) any Voting Commitment that could limit or interfere with such prospective nominee’s ability to comply, if elected as a director of the Corporation, with such prospective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would be in compliance, if elected as a director of the Corporation, and will comply with all applicable corporate governance, conflict of interest, confidentiality and stock ownership and trading policies and guidelines of the Corporation. For purposes of this Section 1(f) of Article II of these Bylaws a “nominee” shall include any person being considered to fill a vacancy on the Board.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2" w:lineRule="auto"/>
        <w:tabs>
          <w:tab w:leader="none" w:pos="3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(e)(v)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provided, however, that any references in these Bylaws to the Exchange Act or the rules promulgated thereunder are not intended to and shall not limit the requirements applicable to nominations to be considered pursuant to this Section 1 of Article II of these Bylaws (including clause</w:t>
      </w:r>
    </w:p>
    <w:p>
      <w:pPr>
        <w:spacing w:after="0" w:line="3" w:lineRule="exact"/>
        <w:rPr>
          <w:rFonts w:ascii="Times New Roman" w:cs="Times New Roman" w:eastAsia="Times New Roman" w:hAnsi="Times New Roman"/>
          <w:sz w:val="18"/>
          <w:szCs w:val="18"/>
          <w:color w:val="auto"/>
        </w:rPr>
      </w:pPr>
    </w:p>
    <w:p>
      <w:pPr>
        <w:ind w:left="120" w:right="40" w:hanging="4"/>
        <w:spacing w:after="0" w:line="260" w:lineRule="auto"/>
        <w:tabs>
          <w:tab w:leader="none" w:pos="3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 Nothing in this Section 1 of Article II of these Bylaws shall be deemed to affect any rights of the holders of any series of preferred stock of the Corporation to elect directors pursuant to any applicable provisions of the Certificate of Incorporation.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Section 8 of Article II is hereby deleted in its entirety and amended and inserting in lieu thereof the following:</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SECTION 8. VACANCIES: Subject to the rights, if any, of the holders of any class of capital stock of the Corporation (other than the Common Stock) then outstanding, any vacancies in the Board which occur for any reason prior to the expiration of a director’s term of office, and any newly created directorships by reason of an increase in the number of directors, may be filled only by the Board, acting by the affirmative vote of a majority of the remaining directors then in office (even if less than a quorum), or by a sole remaining director.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decimal"/>
      <w:start w:val="6"/>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lowerRoman"/>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lowerRoman"/>
      <w:start w:val="3"/>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lvl w:ilvl="1">
      <w:lvlJc w:val="left"/>
      <w:lvlText w:val="○"/>
      <w:numFmt w:val="bullet"/>
      <w:start w:val="1"/>
    </w:lvl>
  </w:abstractNum>
  <w:abstractNum w:abstractNumId="22">
    <w:nsid w:val="4F4EF005"/>
    <w:multiLevelType w:val="hybridMultilevel"/>
    <w:lvl w:ilvl="0">
      <w:lvlJc w:val="left"/>
      <w:lvlText w:val="•"/>
      <w:numFmt w:val="bullet"/>
      <w:start w:val="1"/>
    </w:lvl>
    <w:lvl w:ilvl="1">
      <w:lvlJc w:val="left"/>
      <w:lvlText w:val=" "/>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lvl w:ilvl="1">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5"/>
    </w:lvl>
  </w:abstractNum>
  <w:abstractNum w:abstractNumId="42">
    <w:nsid w:val="5FF87E05"/>
    <w:multiLevelType w:val="hybridMultilevel"/>
    <w:lvl w:ilvl="0">
      <w:lvlJc w:val="left"/>
      <w:lvlText w:val="(%1)"/>
      <w:numFmt w:val="lowerLetter"/>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8"/>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52">
    <w:nsid w:val="15014ACB"/>
    <w:multiLevelType w:val="hybridMultilevel"/>
    <w:lvl w:ilvl="0">
      <w:lvlJc w:val="left"/>
      <w:lvlText w:val="(%1)"/>
      <w:numFmt w:val="lowerRoman"/>
      <w:start w:val="3"/>
    </w:lvl>
    <w:lvl w:ilvl="1">
      <w:lvlJc w:val="left"/>
      <w:lvlText w:val="(%2)"/>
      <w:numFmt w:val="upperLetter"/>
      <w:start w:val="1"/>
    </w:lvl>
  </w:abstractNum>
  <w:abstractNum w:abstractNumId="53">
    <w:nsid w:val="5F5E7FD0"/>
    <w:multiLevelType w:val="hybridMultilevel"/>
    <w:lvl w:ilvl="0">
      <w:lvlJc w:val="left"/>
      <w:lvlText w:val="(%1)"/>
      <w:numFmt w:val="lowerLetter"/>
      <w:start w:val="2"/>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lvl w:ilvl="1">
      <w:lvlJc w:val="left"/>
      <w:lvlText w:val="(%2)"/>
      <w:numFmt w:val="lowerRoman"/>
      <w:start w:val="1"/>
    </w:lvl>
  </w:abstractNum>
  <w:abstractNum w:abstractNumId="64">
    <w:nsid w:val="51D9C564"/>
    <w:multiLevelType w:val="hybridMultilevel"/>
    <w:lvl w:ilvl="0">
      <w:lvlJc w:val="left"/>
      <w:lvlText w:val="(%1)"/>
      <w:numFmt w:val="lowerRoman"/>
      <w:start w:val="2"/>
    </w:lvl>
  </w:abstractNum>
  <w:abstractNum w:abstractNumId="65">
    <w:nsid w:val="613EFDC5"/>
    <w:multiLevelType w:val="hybridMultilevel"/>
    <w:lvl w:ilvl="0">
      <w:lvlJc w:val="left"/>
      <w:lvlText w:val="(%1)"/>
      <w:numFmt w:val="lowerRoman"/>
      <w:start w:val="2"/>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2"/>
    </w:lvl>
  </w:abstractNum>
  <w:abstractNum w:abstractNumId="72">
    <w:nsid w:val="3B0FD379"/>
    <w:multiLevelType w:val="hybridMultilevel"/>
    <w:lvl w:ilvl="0">
      <w:lvlJc w:val="left"/>
      <w:lvlText w:val="%1."/>
      <w:numFmt w:val="decimal"/>
      <w:start w:val="4"/>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decimal"/>
      <w:start w:val="1"/>
    </w:lvl>
  </w:abstractNum>
  <w:abstractNum w:abstractNumId="76">
    <w:nsid w:val="6A5EE64"/>
    <w:multiLevelType w:val="hybridMultilevel"/>
    <w:lvl w:ilvl="0">
      <w:lvlJc w:val="left"/>
      <w:lvlText w:val="%1."/>
      <w:numFmt w:val="decimal"/>
      <w:start w:val="3"/>
    </w:lvl>
  </w:abstractNum>
  <w:abstractNum w:abstractNumId="77">
    <w:nsid w:val="14330624"/>
    <w:multiLevelType w:val="hybridMultilevel"/>
    <w:lvl w:ilvl="0">
      <w:lvlJc w:val="left"/>
      <w:lvlText w:val="%1."/>
      <w:numFmt w:val="decimal"/>
      <w:start w:val="4"/>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4"/>
    </w:lvl>
  </w:abstractNum>
  <w:abstractNum w:abstractNumId="80">
    <w:nsid w:val="71EA1109"/>
    <w:multiLevelType w:val="hybridMultilevel"/>
    <w:lvl w:ilvl="0">
      <w:lvlJc w:val="left"/>
      <w:lvlText w:val="(%1)"/>
      <w:numFmt w:val="lowerRoman"/>
      <w:start w:val="1"/>
    </w:lvl>
  </w:abstractNum>
  <w:abstractNum w:abstractNumId="81">
    <w:nsid w:val="100F59DC"/>
    <w:multiLevelType w:val="hybridMultilevel"/>
    <w:lvl w:ilvl="0">
      <w:lvlJc w:val="left"/>
      <w:lvlText w:val="(%1)"/>
      <w:numFmt w:val="lowerLetter"/>
      <w:start w:val="5"/>
    </w:lvl>
  </w:abstractNum>
  <w:abstractNum w:abstractNumId="82">
    <w:nsid w:val="7FB7E0AA"/>
    <w:multiLevelType w:val="hybridMultilevel"/>
    <w:lvl w:ilvl="0">
      <w:lvlJc w:val="left"/>
      <w:lvlText w:val="(%1)"/>
      <w:numFmt w:val="lowerRoman"/>
      <w:start w:val="1"/>
    </w:lvl>
  </w:abstractNum>
  <w:abstractNum w:abstractNumId="83">
    <w:nsid w:val="6EB5BD4"/>
    <w:multiLevelType w:val="hybridMultilevel"/>
    <w:lvl w:ilvl="0">
      <w:lvlJc w:val="left"/>
      <w:lvlText w:val="(%1)"/>
      <w:numFmt w:val="lowerLetter"/>
      <w:start w:val="6"/>
    </w:lvl>
  </w:abstractNum>
  <w:abstractNum w:abstractNumId="84">
    <w:nsid w:val="6F6DD9AC"/>
    <w:multiLevelType w:val="hybridMultilevel"/>
    <w:lvl w:ilvl="0">
      <w:lvlJc w:val="left"/>
      <w:lvlText w:val="(%1)"/>
      <w:numFmt w:val="lowerLetter"/>
      <w:start w:val="7"/>
    </w:lvl>
  </w:abstractNum>
  <w:abstractNum w:abstractNumId="85">
    <w:nsid w:val="94211F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2024-12-17T15:11:29Z</dcterms:created>
  <dcterms:modified xsi:type="dcterms:W3CDTF">2024-12-17T15:11:29Z</dcterms:modified>
</cp:coreProperties>
</file>