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-10160</wp:posOffset>
            </wp:positionV>
            <wp:extent cx="138430" cy="186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430" cy="186690"/>
                    </a:xfrm>
                    <a:prstGeom prst="rect">
                      <a:avLst/>
                    </a:prstGeom>
                    <a:noFill/>
                  </pic:spPr>
                </pic:pic>
              </a:graphicData>
            </a:graphic>
          </wp:anchor>
        </w:drawing>
      </w:r>
    </w:p>
    <w:p>
      <w:pPr>
        <w:jc w:val="both"/>
        <w:ind w:left="340" w:right="340" w:hanging="262"/>
        <w:spacing w:after="0" w:line="181" w:lineRule="auto"/>
        <w:tabs>
          <w:tab w:leader="none" w:pos="34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80" w:type="dxa"/>
            <w:vAlign w:val="bottom"/>
          </w:tcPr>
          <w:p>
            <w:pPr>
              <w:jc w:val="center"/>
              <w:ind w:right="2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23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3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5469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46925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00" w:space="38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DAVENPORT DARCY HORN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BELLRING BRANDS,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BELLRING BRANDS,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BRBR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03/10/2022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85"/>
        <w:spacing w:after="0"/>
        <w:rPr>
          <w:sz w:val="20"/>
          <w:szCs w:val="20"/>
          <w:color w:val="auto"/>
        </w:rPr>
      </w:pPr>
      <w:r>
        <w:rPr>
          <w:rFonts w:ascii="Arial" w:cs="Arial" w:eastAsia="Arial" w:hAnsi="Arial"/>
          <w:sz w:val="17"/>
          <w:szCs w:val="17"/>
          <w:color w:val="0000FF"/>
        </w:rPr>
        <w:t>PRES. AND CEO</w:t>
      </w:r>
    </w:p>
    <w:p>
      <w:pPr>
        <w:spacing w:after="0" w:line="387" w:lineRule="exact"/>
        <w:rPr>
          <w:sz w:val="24"/>
          <w:szCs w:val="24"/>
          <w:color w:val="auto"/>
        </w:rPr>
      </w:pPr>
    </w:p>
    <w:p>
      <w:pPr>
        <w:sectPr>
          <w:pgSz w:w="11900" w:h="16838" w:orient="portrait"/>
          <w:cols w:equalWidth="0" w:num="3">
            <w:col w:w="3180" w:space="720"/>
            <w:col w:w="3120" w:space="715"/>
            <w:col w:w="3345"/>
          </w:cols>
          <w:pgMar w:left="460" w:top="220"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ST. LOUIS</w:t>
            </w:r>
          </w:p>
        </w:tc>
        <w:tc>
          <w:tcPr>
            <w:tcW w:w="1040" w:type="dxa"/>
            <w:vAlign w:val="bottom"/>
          </w:tcPr>
          <w:p>
            <w:pPr>
              <w:ind w:left="240"/>
              <w:spacing w:after="0"/>
              <w:rPr>
                <w:sz w:val="20"/>
                <w:szCs w:val="20"/>
                <w:color w:val="auto"/>
              </w:rPr>
            </w:pPr>
            <w:r>
              <w:rPr>
                <w:rFonts w:ascii="Arial" w:cs="Arial" w:eastAsia="Arial" w:hAnsi="Arial"/>
                <w:sz w:val="17"/>
                <w:szCs w:val="17"/>
                <w:color w:val="0000FF"/>
              </w:rPr>
              <w:t>MO</w:t>
            </w:r>
          </w:p>
        </w:tc>
        <w:tc>
          <w:tcPr>
            <w:tcW w:w="1620" w:type="dxa"/>
            <w:vAlign w:val="bottom"/>
          </w:tcPr>
          <w:p>
            <w:pPr>
              <w:ind w:left="420"/>
              <w:spacing w:after="0"/>
              <w:rPr>
                <w:sz w:val="20"/>
                <w:szCs w:val="20"/>
                <w:color w:val="auto"/>
              </w:rPr>
            </w:pPr>
            <w:r>
              <w:rPr>
                <w:rFonts w:ascii="Arial" w:cs="Arial" w:eastAsia="Arial" w:hAnsi="Arial"/>
                <w:sz w:val="17"/>
                <w:szCs w:val="17"/>
                <w:color w:val="0000FF"/>
              </w:rPr>
              <w:t>63144</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42"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jc w:val="center"/>
              <w:ind w:left="674"/>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gridSpan w:val="2"/>
          </w:tcPr>
          <w:p>
            <w:pPr>
              <w:jc w:val="center"/>
              <w:ind w:left="694"/>
              <w:spacing w:after="0"/>
              <w:rPr>
                <w:sz w:val="20"/>
                <w:szCs w:val="20"/>
                <w:color w:val="auto"/>
              </w:rPr>
            </w:pPr>
            <w:r>
              <w:rPr>
                <w:rFonts w:ascii="Arial" w:cs="Arial" w:eastAsia="Arial" w:hAnsi="Arial"/>
                <w:sz w:val="17"/>
                <w:szCs w:val="17"/>
                <w:color w:val="0000FF"/>
                <w:w w:val="89"/>
              </w:rPr>
              <w:t>03/10/2022</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center"/>
              <w:ind w:right="120"/>
              <w:spacing w:after="0"/>
              <w:rPr>
                <w:sz w:val="20"/>
                <w:szCs w:val="20"/>
                <w:color w:val="auto"/>
              </w:rPr>
            </w:pPr>
            <w:r>
              <w:rPr>
                <w:rFonts w:ascii="Arial" w:cs="Arial" w:eastAsia="Arial" w:hAnsi="Arial"/>
                <w:sz w:val="13"/>
                <w:szCs w:val="13"/>
                <w:color w:val="0000FF"/>
                <w:w w:val="84"/>
              </w:rPr>
              <w:t>D</w:t>
            </w:r>
          </w:p>
        </w:tc>
        <w:tc>
          <w:tcPr>
            <w:tcW w:w="860" w:type="dxa"/>
            <w:vAlign w:val="bottom"/>
            <w:gridSpan w:val="2"/>
          </w:tcPr>
          <w:p>
            <w:pPr>
              <w:jc w:val="right"/>
              <w:spacing w:after="0"/>
              <w:rPr>
                <w:sz w:val="20"/>
                <w:szCs w:val="20"/>
                <w:color w:val="auto"/>
              </w:rPr>
            </w:pPr>
            <w:r>
              <w:rPr>
                <w:rFonts w:ascii="Arial" w:cs="Arial" w:eastAsia="Arial" w:hAnsi="Arial"/>
                <w:sz w:val="17"/>
                <w:szCs w:val="17"/>
                <w:color w:val="0000FF"/>
              </w:rPr>
              <w:t>44,552</w:t>
            </w:r>
          </w:p>
        </w:tc>
        <w:tc>
          <w:tcPr>
            <w:tcW w:w="500" w:type="dxa"/>
            <w:vAlign w:val="bottom"/>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Pr>
          <w:p>
            <w:pPr>
              <w:jc w:val="right"/>
              <w:ind w:right="78"/>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1"/>
                <w:szCs w:val="21"/>
                <w:color w:val="auto"/>
              </w:rPr>
            </w:pPr>
          </w:p>
        </w:tc>
        <w:tc>
          <w:tcPr>
            <w:tcW w:w="1260" w:type="dxa"/>
            <w:vAlign w:val="bottom"/>
            <w:gridSpan w:val="3"/>
          </w:tcPr>
          <w:p>
            <w:pPr>
              <w:jc w:val="right"/>
              <w:ind w:right="342"/>
              <w:spacing w:after="0"/>
              <w:rPr>
                <w:sz w:val="20"/>
                <w:szCs w:val="20"/>
                <w:color w:val="auto"/>
              </w:rPr>
            </w:pPr>
            <w:r>
              <w:rPr>
                <w:rFonts w:ascii="Arial" w:cs="Arial" w:eastAsia="Arial" w:hAnsi="Arial"/>
                <w:sz w:val="17"/>
                <w:szCs w:val="17"/>
                <w:color w:val="0000FF"/>
              </w:rPr>
              <w:t>85,515</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2"/>
          </w:tcPr>
          <w:p>
            <w:pPr>
              <w:jc w:val="center"/>
              <w:ind w:left="694"/>
              <w:spacing w:after="0"/>
              <w:rPr>
                <w:sz w:val="20"/>
                <w:szCs w:val="20"/>
                <w:color w:val="auto"/>
              </w:rPr>
            </w:pPr>
            <w:r>
              <w:rPr>
                <w:rFonts w:ascii="Arial" w:cs="Arial" w:eastAsia="Arial" w:hAnsi="Arial"/>
                <w:sz w:val="17"/>
                <w:szCs w:val="17"/>
                <w:color w:val="0000FF"/>
                <w:w w:val="89"/>
              </w:rPr>
              <w:t>03/10/2022</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0"/>
              <w:spacing w:after="0"/>
              <w:rPr>
                <w:sz w:val="20"/>
                <w:szCs w:val="20"/>
                <w:color w:val="auto"/>
              </w:rPr>
            </w:pPr>
            <w:r>
              <w:rPr>
                <w:rFonts w:ascii="Arial" w:cs="Arial" w:eastAsia="Arial" w:hAnsi="Arial"/>
                <w:sz w:val="13"/>
                <w:szCs w:val="13"/>
                <w:color w:val="0000FF"/>
                <w:w w:val="84"/>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85,515</w:t>
            </w:r>
            <w:r>
              <w:rPr>
                <w:rFonts w:ascii="Arial" w:cs="Arial" w:eastAsia="Arial" w:hAnsi="Arial"/>
                <w:sz w:val="21"/>
                <w:szCs w:val="21"/>
                <w:color w:val="008000"/>
                <w:vertAlign w:val="superscript"/>
              </w:rPr>
              <w:t>(2)</w:t>
            </w:r>
          </w:p>
        </w:tc>
        <w:tc>
          <w:tcPr>
            <w:tcW w:w="5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jc w:val="right"/>
              <w:ind w:right="18"/>
              <w:spacing w:after="0"/>
              <w:rPr>
                <w:sz w:val="20"/>
                <w:szCs w:val="20"/>
                <w:color w:val="auto"/>
              </w:rPr>
            </w:pPr>
            <w:r>
              <w:rPr>
                <w:rFonts w:ascii="Arial" w:cs="Arial" w:eastAsia="Arial" w:hAnsi="Arial"/>
                <w:sz w:val="11"/>
                <w:szCs w:val="11"/>
                <w:color w:val="008000"/>
              </w:rPr>
              <w:t>(1)(2)</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2"/>
                <w:szCs w:val="12"/>
                <w:color w:val="auto"/>
              </w:rPr>
            </w:pPr>
          </w:p>
        </w:tc>
        <w:tc>
          <w:tcPr>
            <w:tcW w:w="6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ind w:right="58"/>
              <w:spacing w:after="0"/>
              <w:rPr>
                <w:sz w:val="20"/>
                <w:szCs w:val="20"/>
                <w:color w:val="auto"/>
              </w:rPr>
            </w:pPr>
            <w:r>
              <w:rPr>
                <w:rFonts w:ascii="Arial" w:cs="Arial" w:eastAsia="Arial" w:hAnsi="Arial"/>
                <w:sz w:val="17"/>
                <w:szCs w:val="17"/>
                <w:color w:val="0000FF"/>
                <w:w w:val="92"/>
              </w:rPr>
              <w:t>76,000</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008000"/>
              </w:rPr>
              <w:t>(3)</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19.31</w:t>
            </w:r>
          </w:p>
        </w:tc>
        <w:tc>
          <w:tcPr>
            <w:tcW w:w="1060" w:type="dxa"/>
            <w:vAlign w:val="bottom"/>
          </w:tcPr>
          <w:p>
            <w:pPr>
              <w:jc w:val="right"/>
              <w:ind w:right="180"/>
              <w:spacing w:after="0" w:line="140" w:lineRule="exact"/>
              <w:rPr>
                <w:sz w:val="20"/>
                <w:szCs w:val="20"/>
                <w:color w:val="auto"/>
              </w:rPr>
            </w:pPr>
            <w:r>
              <w:rPr>
                <w:rFonts w:ascii="Arial" w:cs="Arial" w:eastAsia="Arial" w:hAnsi="Arial"/>
                <w:sz w:val="13"/>
                <w:szCs w:val="13"/>
                <w:color w:val="0000FF"/>
              </w:rPr>
              <w:t>03/10/2022</w:t>
            </w:r>
          </w:p>
        </w:tc>
        <w:tc>
          <w:tcPr>
            <w:tcW w:w="1080" w:type="dxa"/>
            <w:vAlign w:val="bottom"/>
          </w:tcPr>
          <w:p>
            <w:pPr>
              <w:spacing w:after="0"/>
              <w:rPr>
                <w:sz w:val="12"/>
                <w:szCs w:val="12"/>
                <w:color w:val="auto"/>
              </w:rPr>
            </w:pPr>
          </w:p>
        </w:tc>
        <w:tc>
          <w:tcPr>
            <w:tcW w:w="760" w:type="dxa"/>
            <w:vAlign w:val="bottom"/>
          </w:tcPr>
          <w:p>
            <w:pPr>
              <w:jc w:val="center"/>
              <w:ind w:right="281"/>
              <w:spacing w:after="0" w:line="140" w:lineRule="exact"/>
              <w:rPr>
                <w:sz w:val="20"/>
                <w:szCs w:val="20"/>
                <w:color w:val="auto"/>
              </w:rPr>
            </w:pPr>
            <w:r>
              <w:rPr>
                <w:rFonts w:ascii="Arial" w:cs="Arial" w:eastAsia="Arial" w:hAnsi="Arial"/>
                <w:sz w:val="13"/>
                <w:szCs w:val="13"/>
                <w:color w:val="0000FF"/>
              </w:rPr>
              <w:t>D</w:t>
            </w:r>
          </w:p>
        </w:tc>
        <w:tc>
          <w:tcPr>
            <w:tcW w:w="920" w:type="dxa"/>
            <w:vAlign w:val="bottom"/>
          </w:tcPr>
          <w:p>
            <w:pPr>
              <w:jc w:val="right"/>
              <w:ind w:right="82"/>
              <w:spacing w:after="0" w:line="140" w:lineRule="exact"/>
              <w:rPr>
                <w:sz w:val="20"/>
                <w:szCs w:val="20"/>
                <w:color w:val="auto"/>
              </w:rPr>
            </w:pPr>
            <w:r>
              <w:rPr>
                <w:rFonts w:ascii="Arial" w:cs="Arial" w:eastAsia="Arial" w:hAnsi="Arial"/>
                <w:sz w:val="13"/>
                <w:szCs w:val="13"/>
                <w:color w:val="0000FF"/>
              </w:rPr>
              <w:t>76,000</w:t>
            </w:r>
          </w:p>
        </w:tc>
        <w:tc>
          <w:tcPr>
            <w:tcW w:w="760" w:type="dxa"/>
            <w:vAlign w:val="bottom"/>
            <w:gridSpan w:val="2"/>
            <w:vMerge w:val="continue"/>
          </w:tcPr>
          <w:p>
            <w:pPr>
              <w:spacing w:after="0"/>
              <w:rPr>
                <w:sz w:val="12"/>
                <w:szCs w:val="12"/>
                <w:color w:val="auto"/>
              </w:rPr>
            </w:pPr>
          </w:p>
        </w:tc>
        <w:tc>
          <w:tcPr>
            <w:tcW w:w="700" w:type="dxa"/>
            <w:vAlign w:val="bottom"/>
          </w:tcPr>
          <w:p>
            <w:pPr>
              <w:ind w:left="40"/>
              <w:spacing w:after="0" w:line="140" w:lineRule="exact"/>
              <w:rPr>
                <w:sz w:val="20"/>
                <w:szCs w:val="20"/>
                <w:color w:val="auto"/>
              </w:rPr>
            </w:pPr>
            <w:r>
              <w:rPr>
                <w:rFonts w:ascii="Arial" w:cs="Arial" w:eastAsia="Arial" w:hAnsi="Arial"/>
                <w:sz w:val="13"/>
                <w:szCs w:val="13"/>
                <w:color w:val="0000FF"/>
                <w:w w:val="98"/>
              </w:rPr>
              <w:t>11/20/2029</w:t>
            </w:r>
          </w:p>
        </w:tc>
        <w:tc>
          <w:tcPr>
            <w:tcW w:w="66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60" w:type="dxa"/>
            <w:vAlign w:val="bottom"/>
          </w:tcPr>
          <w:p>
            <w:pPr>
              <w:ind w:left="36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4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center"/>
              <w:ind w:right="152"/>
              <w:spacing w:after="0" w:line="140" w:lineRule="exact"/>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tcPr>
          <w:p>
            <w:pPr>
              <w:spacing w:after="0"/>
              <w:rPr>
                <w:sz w:val="12"/>
                <w:szCs w:val="12"/>
                <w:color w:val="auto"/>
              </w:rPr>
            </w:pPr>
          </w:p>
        </w:tc>
        <w:tc>
          <w:tcPr>
            <w:tcW w:w="66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jc w:val="right"/>
              <w:ind w:right="18"/>
              <w:spacing w:after="0"/>
              <w:rPr>
                <w:sz w:val="20"/>
                <w:szCs w:val="20"/>
                <w:color w:val="auto"/>
              </w:rPr>
            </w:pPr>
            <w:r>
              <w:rPr>
                <w:rFonts w:ascii="Arial" w:cs="Arial" w:eastAsia="Arial" w:hAnsi="Arial"/>
                <w:sz w:val="17"/>
                <w:szCs w:val="17"/>
                <w:color w:val="0000FF"/>
                <w:w w:val="84"/>
              </w:rPr>
              <w:t>107,190</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008000"/>
              </w:rPr>
              <w:t>(4)</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20.05</w:t>
            </w:r>
          </w:p>
        </w:tc>
        <w:tc>
          <w:tcPr>
            <w:tcW w:w="1060" w:type="dxa"/>
            <w:vAlign w:val="bottom"/>
          </w:tcPr>
          <w:p>
            <w:pPr>
              <w:jc w:val="right"/>
              <w:ind w:right="180"/>
              <w:spacing w:after="0" w:line="140" w:lineRule="exact"/>
              <w:rPr>
                <w:sz w:val="20"/>
                <w:szCs w:val="20"/>
                <w:color w:val="auto"/>
              </w:rPr>
            </w:pPr>
            <w:r>
              <w:rPr>
                <w:rFonts w:ascii="Arial" w:cs="Arial" w:eastAsia="Arial" w:hAnsi="Arial"/>
                <w:sz w:val="13"/>
                <w:szCs w:val="13"/>
                <w:color w:val="0000FF"/>
              </w:rPr>
              <w:t>03/10/2022</w:t>
            </w:r>
          </w:p>
        </w:tc>
        <w:tc>
          <w:tcPr>
            <w:tcW w:w="1080" w:type="dxa"/>
            <w:vAlign w:val="bottom"/>
          </w:tcPr>
          <w:p>
            <w:pPr>
              <w:spacing w:after="0"/>
              <w:rPr>
                <w:sz w:val="12"/>
                <w:szCs w:val="12"/>
                <w:color w:val="auto"/>
              </w:rPr>
            </w:pPr>
          </w:p>
        </w:tc>
        <w:tc>
          <w:tcPr>
            <w:tcW w:w="760" w:type="dxa"/>
            <w:vAlign w:val="bottom"/>
          </w:tcPr>
          <w:p>
            <w:pPr>
              <w:jc w:val="center"/>
              <w:ind w:right="281"/>
              <w:spacing w:after="0" w:line="140" w:lineRule="exact"/>
              <w:rPr>
                <w:sz w:val="20"/>
                <w:szCs w:val="20"/>
                <w:color w:val="auto"/>
              </w:rPr>
            </w:pPr>
            <w:r>
              <w:rPr>
                <w:rFonts w:ascii="Arial" w:cs="Arial" w:eastAsia="Arial" w:hAnsi="Arial"/>
                <w:sz w:val="13"/>
                <w:szCs w:val="13"/>
                <w:color w:val="0000FF"/>
              </w:rPr>
              <w:t>D</w:t>
            </w:r>
          </w:p>
        </w:tc>
        <w:tc>
          <w:tcPr>
            <w:tcW w:w="920" w:type="dxa"/>
            <w:vAlign w:val="bottom"/>
          </w:tcPr>
          <w:p>
            <w:pPr>
              <w:jc w:val="right"/>
              <w:ind w:right="42"/>
              <w:spacing w:after="0" w:line="140" w:lineRule="exact"/>
              <w:rPr>
                <w:sz w:val="20"/>
                <w:szCs w:val="20"/>
                <w:color w:val="auto"/>
              </w:rPr>
            </w:pPr>
            <w:r>
              <w:rPr>
                <w:rFonts w:ascii="Arial" w:cs="Arial" w:eastAsia="Arial" w:hAnsi="Arial"/>
                <w:sz w:val="13"/>
                <w:szCs w:val="13"/>
                <w:color w:val="0000FF"/>
              </w:rPr>
              <w:t>107,190</w:t>
            </w:r>
          </w:p>
        </w:tc>
        <w:tc>
          <w:tcPr>
            <w:tcW w:w="760" w:type="dxa"/>
            <w:vAlign w:val="bottom"/>
            <w:gridSpan w:val="2"/>
            <w:vMerge w:val="continue"/>
          </w:tcPr>
          <w:p>
            <w:pPr>
              <w:spacing w:after="0"/>
              <w:rPr>
                <w:sz w:val="12"/>
                <w:szCs w:val="12"/>
                <w:color w:val="auto"/>
              </w:rPr>
            </w:pPr>
          </w:p>
        </w:tc>
        <w:tc>
          <w:tcPr>
            <w:tcW w:w="700" w:type="dxa"/>
            <w:vAlign w:val="bottom"/>
          </w:tcPr>
          <w:p>
            <w:pPr>
              <w:ind w:left="40"/>
              <w:spacing w:after="0" w:line="140" w:lineRule="exact"/>
              <w:rPr>
                <w:sz w:val="20"/>
                <w:szCs w:val="20"/>
                <w:color w:val="auto"/>
              </w:rPr>
            </w:pPr>
            <w:r>
              <w:rPr>
                <w:rFonts w:ascii="Arial" w:cs="Arial" w:eastAsia="Arial" w:hAnsi="Arial"/>
                <w:sz w:val="13"/>
                <w:szCs w:val="13"/>
                <w:color w:val="0000FF"/>
                <w:w w:val="98"/>
              </w:rPr>
              <w:t>11/12/2030</w:t>
            </w:r>
          </w:p>
        </w:tc>
        <w:tc>
          <w:tcPr>
            <w:tcW w:w="66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60" w:type="dxa"/>
            <w:vAlign w:val="bottom"/>
          </w:tcPr>
          <w:p>
            <w:pPr>
              <w:ind w:left="36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40" w:type="dxa"/>
            <w:vAlign w:val="bottom"/>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center"/>
              <w:ind w:right="152"/>
              <w:spacing w:after="0" w:line="140" w:lineRule="exact"/>
              <w:rPr>
                <w:sz w:val="20"/>
                <w:szCs w:val="20"/>
                <w:color w:val="auto"/>
              </w:rPr>
            </w:pPr>
            <w:r>
              <w:rPr>
                <w:rFonts w:ascii="Arial" w:cs="Arial" w:eastAsia="Arial" w:hAnsi="Arial"/>
                <w:sz w:val="13"/>
                <w:szCs w:val="13"/>
                <w:color w:val="0000FF"/>
                <w:w w:val="85"/>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-2442845</wp:posOffset>
            </wp:positionV>
            <wp:extent cx="28575" cy="2448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4485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480"/>
        <w:spacing w:after="0" w:line="282" w:lineRule="auto"/>
        <w:tabs>
          <w:tab w:leader="none" w:pos="167"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On March 10, 2022, Post Holdings, Inc. ("Post") and BellRing Intermediate Holdings, Inc. (formerly known as BellRing Brands, Inc.) ("Old BellRing") completed the transactions under the transaction agreement and plan of merger entered into on October 26, 2021, as amended on February 28, 2022, whereby Post contributed its membership units of BellRing Brands, LLC into a newly-formed subsidiary, BellRing Distribution, LLC (which converted into a Delaware corporation prior to the distribution and was renamed "BellRing Brands, Inc.") ("New BellRing"), in exchange for New BellRing stock and New BellRing debt securities and distributed a portion of its New BellRing stock to Post shareholders in a pro-rata distribution, following which Old BellRing merged with a subsidiary of New BellRing and each outstanding share of Old BellRing Class A common stock was converted into one share of New BellRing common stock and $2.97 in cash (collectively, the "Transactions").</w:t>
      </w:r>
    </w:p>
    <w:p>
      <w:pPr>
        <w:spacing w:after="0" w:line="7" w:lineRule="exact"/>
        <w:rPr>
          <w:rFonts w:ascii="Arial" w:cs="Arial" w:eastAsia="Arial" w:hAnsi="Arial"/>
          <w:sz w:val="11"/>
          <w:szCs w:val="11"/>
          <w:color w:val="008000"/>
        </w:rPr>
      </w:pPr>
    </w:p>
    <w:p>
      <w:pPr>
        <w:ind w:left="160" w:hanging="120"/>
        <w:spacing w:after="0"/>
        <w:tabs>
          <w:tab w:leader="none" w:pos="16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In connection with the Transactions, unvested restricted stock units of Old BellRing were assumed by New BellRing and continue to be subject to the same terms and conditions of the Old BellRing awards.</w:t>
      </w:r>
    </w:p>
    <w:p>
      <w:pPr>
        <w:spacing w:after="0" w:line="52" w:lineRule="exact"/>
        <w:rPr>
          <w:rFonts w:ascii="Arial" w:cs="Arial" w:eastAsia="Arial" w:hAnsi="Arial"/>
          <w:sz w:val="12"/>
          <w:szCs w:val="12"/>
          <w:color w:val="008000"/>
        </w:rPr>
      </w:pPr>
    </w:p>
    <w:p>
      <w:pPr>
        <w:ind w:left="40" w:right="160"/>
        <w:spacing w:after="0" w:line="236" w:lineRule="auto"/>
        <w:tabs>
          <w:tab w:leader="none" w:pos="16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an option grant in the original amount of 96,000 shares which provided for vesting in equal annual installments over three years commencing November 20, 2020 (the "2019 Original Option"). The 2019 Original Option was assumed by New BellRing in connection with the Transactions and replaced with an option to purchase an equal number shares of New BellRing common stock, under the same terms and conditions as the 2019 Original Option.</w:t>
      </w:r>
    </w:p>
    <w:p>
      <w:pPr>
        <w:spacing w:after="0" w:line="29" w:lineRule="exact"/>
        <w:rPr>
          <w:rFonts w:ascii="Arial" w:cs="Arial" w:eastAsia="Arial" w:hAnsi="Arial"/>
          <w:sz w:val="13"/>
          <w:szCs w:val="13"/>
          <w:color w:val="008000"/>
        </w:rPr>
      </w:pPr>
    </w:p>
    <w:p>
      <w:pPr>
        <w:ind w:left="40" w:right="360"/>
        <w:spacing w:after="0" w:line="236" w:lineRule="auto"/>
        <w:tabs>
          <w:tab w:leader="none" w:pos="167"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Represents an option grant which provided for vesting in equal annual installments over three years commencing November 12, 2021 (the "2020 Original Option"). The 2020 Original Option was assumed by New BellRing in connection with the Transactions and replaced with an option to purchase an equal number shares of New BellRing common stock, under the same terms and conditions as the 2020 Original Option.</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Craig L. Rosenthal,</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03/10/2022</w:t>
            </w:r>
          </w:p>
        </w:tc>
        <w:tc>
          <w:tcPr>
            <w:tcW w:w="0" w:type="dxa"/>
            <w:vAlign w:val="bottom"/>
          </w:tcPr>
          <w:p>
            <w:pPr>
              <w:spacing w:after="0"/>
              <w:rPr>
                <w:sz w:val="1"/>
                <w:szCs w:val="1"/>
                <w:color w:val="auto"/>
              </w:rPr>
            </w:pPr>
          </w:p>
        </w:tc>
      </w:tr>
      <w:tr>
        <w:trPr>
          <w:trHeight w:val="87"/>
        </w:trPr>
        <w:tc>
          <w:tcPr>
            <w:tcW w:w="14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Arial" w:cs="Arial" w:eastAsia="Arial" w:hAnsi="Arial"/>
                <w:sz w:val="17"/>
                <w:szCs w:val="17"/>
                <w:color w:val="0000FF"/>
              </w:rPr>
              <w:t>Attorney-in-Fact</w:t>
            </w:r>
          </w:p>
        </w:tc>
        <w:tc>
          <w:tcPr>
            <w:tcW w:w="7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4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0322"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2022-03-10T15:52:55Z</dcterms:created>
  <dcterms:modified xsi:type="dcterms:W3CDTF">2022-03-10T15:52:55Z</dcterms:modified>
</cp:coreProperties>
</file>