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314.444.7600</w:t>
            </w:r>
          </w:p>
        </w:tc>
        <w:tc>
          <w:tcPr>
            <w:tcW w:w="2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i w:val="1"/>
                <w:iCs w:val="1"/>
                <w:color w:val="auto"/>
              </w:rPr>
              <w:t>(direct)</w:t>
            </w: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600 Washington Avenue</w:t>
            </w:r>
          </w:p>
        </w:tc>
      </w:tr>
      <w:tr>
        <w:trPr>
          <w:trHeight w:val="216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314.241.6056</w:t>
            </w:r>
          </w:p>
        </w:tc>
        <w:tc>
          <w:tcPr>
            <w:tcW w:w="2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i w:val="1"/>
                <w:iCs w:val="1"/>
                <w:color w:val="auto"/>
              </w:rPr>
              <w:t>(fax)</w:t>
            </w: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Suite 2500</w:t>
            </w:r>
          </w:p>
        </w:tc>
      </w:tr>
      <w:tr>
        <w:trPr>
          <w:trHeight w:val="248"/>
        </w:trPr>
        <w:tc>
          <w:tcPr>
            <w:tcW w:w="3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www.lewisrice.com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Attorneys at Law</w:t>
            </w:r>
          </w:p>
        </w:tc>
        <w:tc>
          <w:tcPr>
            <w:tcW w:w="25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St. Louis, Missouri 63101</w:t>
            </w:r>
          </w:p>
        </w:tc>
      </w:tr>
    </w:tbl>
    <w:p>
      <w:pPr>
        <w:spacing w:after="0" w:line="202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3149600</wp:posOffset>
            </wp:positionH>
            <wp:positionV relativeFrom="page">
              <wp:posOffset>106680</wp:posOffset>
            </wp:positionV>
            <wp:extent cx="1251585" cy="2057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20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8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October 11, 2019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 and Overnight Delivery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Irene Barberena-Meissner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U.S.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Mail Stop 4628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42"/>
        <w:spacing w:after="0"/>
        <w:tabs>
          <w:tab w:leader="none" w:pos="9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BellRing Brands,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9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Filed September 20, 2019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333-233867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Ms. Barberena-Meissner: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2" w:right="100" w:firstLine="4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behalf of BellRing Brands, Inc. (the “Company”), we hereby transmit via EDGAR for filing with the Securities and Exchange Commission (the “Commission”) amendment no. 2 (“amendment no. 2”) to the Company’s registration statement on Form S-1 (the “Registration Statement”), relating to the offering of shares of the Company’s Class A common stock.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2" w:firstLine="440"/>
        <w:spacing w:after="0" w:line="3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The Registration Statement has been revised since the filing of amendment no. 1 to the Registration Statement on October 7, 2019 (“amendment no. 1”) to reflect certain updated information. In addition, the Company has filed certain exhibits with amendment no. 2.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2" w:right="200" w:firstLine="4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Courtesy copies of this letter and amendment no. 2, marked to show the changes to amendment no. 1, are being sent to the Staff via overnight delivery.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-181"/>
        <w:spacing w:after="0"/>
        <w:tabs>
          <w:tab w:leader="none" w:pos="340" w:val="left"/>
          <w:tab w:leader="none" w:pos="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*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" w:right="660" w:firstLine="4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If you have any questions or comments with respect to the foregoing or to the Registration Statement, please contact the undersigned at 314-444-7671.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66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Tom W. Zook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Tom W. Zook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ind w:left="442" w:hanging="442"/>
        <w:spacing w:after="0"/>
        <w:tabs>
          <w:tab w:leader="none" w:pos="442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Diedre J. Gray</w:t>
      </w:r>
    </w:p>
    <w:p>
      <w:pPr>
        <w:spacing w:after="0" w:line="2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442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Darcy Horn Davenport</w:t>
      </w:r>
    </w:p>
    <w:sectPr>
      <w:pgSz w:w="11900" w:h="16838" w:orient="portrait"/>
      <w:cols w:equalWidth="0" w:num="1">
        <w:col w:w="10842"/>
      </w:cols>
      <w:pgMar w:left="438" w:top="473" w:right="6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2019-12-15T16:23:23Z</dcterms:created>
  <dcterms:modified xsi:type="dcterms:W3CDTF">2019-12-15T16:23:23Z</dcterms:modified>
</cp:coreProperties>
</file>