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6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-236855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-594995</wp:posOffset>
            </wp:positionV>
            <wp:extent cx="8255" cy="5956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-603250</wp:posOffset>
            </wp:positionV>
            <wp:extent cx="8255" cy="6038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-579120</wp:posOffset>
            </wp:positionV>
            <wp:extent cx="1271905" cy="555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-1649730</wp:posOffset>
            </wp:positionH>
            <wp:positionV relativeFrom="paragraph">
              <wp:posOffset>33655</wp:posOffset>
            </wp:positionV>
            <wp:extent cx="6970395" cy="1714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ERICKSON THOMAS P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u w:val="single" w:color="auto"/>
                  <w:color w:val="0000EE"/>
                </w:rPr>
                <w:t>BELLRING BRANDS, INC.</w:t>
              </w:r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01/05/2021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 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912.642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912.642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23.74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4,293.173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 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-2720975</wp:posOffset>
            </wp:positionV>
            <wp:extent cx="7035165" cy="28575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285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20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BellRing Brands, Inc. Class A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BellRing Brands, Inc. Class A common stock upon Reporting Person's retirement from the Board of Directors.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equivalents have no fixed exercisable or expiration dates.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Craig L. Rosenthal,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01/06/2021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535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2021-01-07T15:25:11Z</dcterms:created>
  <dcterms:modified xsi:type="dcterms:W3CDTF">2021-01-07T15:25:11Z</dcterms:modified>
</cp:coreProperties>
</file>